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0F" w:rsidRPr="00E060F8" w:rsidRDefault="00F9570F" w:rsidP="00F9570F">
      <w:pPr>
        <w:tabs>
          <w:tab w:val="left" w:pos="12616"/>
        </w:tabs>
        <w:spacing w:after="6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Приложение № 4</w:t>
      </w:r>
    </w:p>
    <w:p w:rsidR="00F9570F" w:rsidRPr="00E060F8" w:rsidRDefault="00F9570F" w:rsidP="00F9570F">
      <w:pPr>
        <w:spacing w:after="6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 xml:space="preserve"> к извещению об осуществлении закупки</w:t>
      </w:r>
    </w:p>
    <w:p w:rsidR="00F9570F" w:rsidRPr="00E060F8" w:rsidRDefault="00F9570F" w:rsidP="00F9570F">
      <w:pPr>
        <w:jc w:val="right"/>
        <w:rPr>
          <w:rFonts w:ascii="Times New Roman" w:hAnsi="Times New Roman"/>
          <w:b/>
          <w:sz w:val="24"/>
          <w:szCs w:val="24"/>
        </w:rPr>
      </w:pPr>
    </w:p>
    <w:p w:rsidR="00F9570F" w:rsidRPr="00E060F8" w:rsidRDefault="00F9570F" w:rsidP="00F9570F">
      <w:pPr>
        <w:jc w:val="center"/>
        <w:rPr>
          <w:rFonts w:ascii="Times New Roman" w:hAnsi="Times New Roman"/>
          <w:b/>
          <w:sz w:val="24"/>
          <w:szCs w:val="24"/>
        </w:rPr>
      </w:pPr>
      <w:r w:rsidRPr="00E060F8">
        <w:rPr>
          <w:rFonts w:ascii="Times New Roman" w:hAnsi="Times New Roman"/>
          <w:b/>
          <w:sz w:val="24"/>
          <w:szCs w:val="24"/>
        </w:rPr>
        <w:t>Порядок рассмотрения и оценки заявок на участие в электронном конкурсе</w:t>
      </w:r>
    </w:p>
    <w:p w:rsidR="00F9570F" w:rsidRPr="00E060F8" w:rsidRDefault="00F9570F" w:rsidP="00F9570F">
      <w:pPr>
        <w:jc w:val="center"/>
        <w:rPr>
          <w:rFonts w:ascii="Times New Roman" w:hAnsi="Times New Roman"/>
          <w:b/>
          <w:sz w:val="24"/>
          <w:szCs w:val="24"/>
        </w:rPr>
      </w:pPr>
    </w:p>
    <w:p w:rsidR="00F9570F" w:rsidRPr="00E060F8" w:rsidRDefault="00F9570F" w:rsidP="00F9570F">
      <w:pPr>
        <w:tabs>
          <w:tab w:val="left" w:pos="-360"/>
          <w:tab w:val="left" w:pos="360"/>
        </w:tabs>
        <w:jc w:val="center"/>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 xml:space="preserve">I. Информация о заказчике и закупке товаров, работ, услуг </w:t>
      </w:r>
    </w:p>
    <w:p w:rsidR="00F9570F" w:rsidRPr="00E060F8" w:rsidRDefault="00F9570F" w:rsidP="00F9570F">
      <w:pPr>
        <w:jc w:val="center"/>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для обеспечения государственных и муниципальных нужд (далее закупка)</w:t>
      </w:r>
    </w:p>
    <w:tbl>
      <w:tblPr>
        <w:tblW w:w="15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5103"/>
        <w:gridCol w:w="1559"/>
        <w:gridCol w:w="3125"/>
        <w:gridCol w:w="10"/>
      </w:tblGrid>
      <w:tr w:rsidR="00F9570F" w:rsidRPr="00E060F8" w:rsidTr="006B56F0">
        <w:trPr>
          <w:gridAfter w:val="1"/>
          <w:wAfter w:w="10" w:type="dxa"/>
        </w:trPr>
        <w:tc>
          <w:tcPr>
            <w:tcW w:w="5637" w:type="dxa"/>
            <w:vMerge w:val="restart"/>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Полное наименование</w:t>
            </w:r>
          </w:p>
        </w:tc>
        <w:tc>
          <w:tcPr>
            <w:tcW w:w="5103" w:type="dxa"/>
            <w:vMerge w:val="restart"/>
            <w:shd w:val="clear" w:color="auto" w:fill="auto"/>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Акционерное общество «Саханефтегазсбыт»</w:t>
            </w:r>
          </w:p>
        </w:tc>
        <w:tc>
          <w:tcPr>
            <w:tcW w:w="1559" w:type="dxa"/>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c>
          <w:tcPr>
            <w:tcW w:w="3125" w:type="dxa"/>
            <w:shd w:val="clear" w:color="auto" w:fill="auto"/>
          </w:tcPr>
          <w:p w:rsidR="00F9570F" w:rsidRPr="00E060F8" w:rsidRDefault="00F9570F" w:rsidP="006B56F0">
            <w:pPr>
              <w:tabs>
                <w:tab w:val="left" w:pos="-360"/>
                <w:tab w:val="left" w:pos="360"/>
              </w:tabs>
              <w:autoSpaceDE w:val="0"/>
              <w:spacing w:after="0" w:line="240" w:lineRule="auto"/>
              <w:jc w:val="center"/>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 xml:space="preserve">Коды </w:t>
            </w:r>
          </w:p>
        </w:tc>
      </w:tr>
      <w:tr w:rsidR="00F9570F" w:rsidRPr="00E060F8" w:rsidTr="006B56F0">
        <w:trPr>
          <w:gridAfter w:val="1"/>
          <w:wAfter w:w="10" w:type="dxa"/>
        </w:trPr>
        <w:tc>
          <w:tcPr>
            <w:tcW w:w="5637" w:type="dxa"/>
            <w:vMerge/>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p>
        </w:tc>
        <w:tc>
          <w:tcPr>
            <w:tcW w:w="5103" w:type="dxa"/>
            <w:vMerge/>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rsidR="00F9570F" w:rsidRPr="00E060F8" w:rsidRDefault="00F9570F" w:rsidP="006B56F0">
            <w:pPr>
              <w:tabs>
                <w:tab w:val="left" w:pos="-360"/>
                <w:tab w:val="left" w:pos="360"/>
              </w:tabs>
              <w:autoSpaceDE w:val="0"/>
              <w:spacing w:after="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ИНН</w:t>
            </w:r>
          </w:p>
        </w:tc>
        <w:tc>
          <w:tcPr>
            <w:tcW w:w="3125" w:type="dxa"/>
            <w:shd w:val="clear" w:color="auto" w:fill="auto"/>
            <w:vAlign w:val="center"/>
          </w:tcPr>
          <w:p w:rsidR="00F9570F" w:rsidRPr="00E060F8" w:rsidRDefault="00F9570F" w:rsidP="006B56F0">
            <w:pPr>
              <w:tabs>
                <w:tab w:val="left" w:pos="-360"/>
                <w:tab w:val="left" w:pos="360"/>
              </w:tabs>
              <w:autoSpaceDE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1435115270</w:t>
            </w:r>
          </w:p>
        </w:tc>
      </w:tr>
      <w:tr w:rsidR="00F9570F" w:rsidRPr="00E060F8" w:rsidTr="006B56F0">
        <w:trPr>
          <w:gridAfter w:val="1"/>
          <w:wAfter w:w="10" w:type="dxa"/>
        </w:trPr>
        <w:tc>
          <w:tcPr>
            <w:tcW w:w="5637" w:type="dxa"/>
            <w:vMerge/>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p>
        </w:tc>
        <w:tc>
          <w:tcPr>
            <w:tcW w:w="5103" w:type="dxa"/>
            <w:vMerge/>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rsidR="00F9570F" w:rsidRPr="00E060F8" w:rsidRDefault="00F9570F" w:rsidP="006B56F0">
            <w:pPr>
              <w:tabs>
                <w:tab w:val="left" w:pos="-360"/>
                <w:tab w:val="left" w:pos="360"/>
              </w:tabs>
              <w:autoSpaceDE w:val="0"/>
              <w:spacing w:after="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КПП</w:t>
            </w:r>
          </w:p>
        </w:tc>
        <w:tc>
          <w:tcPr>
            <w:tcW w:w="3125" w:type="dxa"/>
            <w:shd w:val="clear" w:color="auto" w:fill="auto"/>
            <w:vAlign w:val="center"/>
          </w:tcPr>
          <w:p w:rsidR="00F9570F" w:rsidRPr="00E060F8" w:rsidRDefault="00F9570F" w:rsidP="006B56F0">
            <w:pPr>
              <w:tabs>
                <w:tab w:val="left" w:pos="-360"/>
                <w:tab w:val="left" w:pos="360"/>
              </w:tabs>
              <w:autoSpaceDE w:val="0"/>
              <w:spacing w:after="0" w:line="240" w:lineRule="auto"/>
              <w:ind w:left="-386" w:firstLine="386"/>
              <w:jc w:val="center"/>
              <w:rPr>
                <w:rFonts w:ascii="Times New Roman" w:eastAsia="Times New Roman" w:hAnsi="Times New Roman"/>
                <w:sz w:val="24"/>
                <w:szCs w:val="24"/>
                <w:lang w:eastAsia="ru-RU"/>
              </w:rPr>
            </w:pPr>
            <w:r>
              <w:rPr>
                <w:rFonts w:ascii="Times New Roman" w:hAnsi="Times New Roman"/>
                <w:bCs/>
                <w:sz w:val="24"/>
              </w:rPr>
              <w:t>143501001</w:t>
            </w:r>
          </w:p>
        </w:tc>
      </w:tr>
      <w:tr w:rsidR="00F9570F" w:rsidRPr="00E060F8" w:rsidTr="006B56F0">
        <w:trPr>
          <w:gridAfter w:val="1"/>
          <w:wAfter w:w="10" w:type="dxa"/>
        </w:trPr>
        <w:tc>
          <w:tcPr>
            <w:tcW w:w="5637" w:type="dxa"/>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Место нахождения, телефон</w:t>
            </w:r>
          </w:p>
        </w:tc>
        <w:tc>
          <w:tcPr>
            <w:tcW w:w="5103" w:type="dxa"/>
            <w:shd w:val="clear" w:color="auto" w:fill="auto"/>
          </w:tcPr>
          <w:p w:rsidR="00F9570F" w:rsidRDefault="00F9570F" w:rsidP="006B56F0">
            <w:pPr>
              <w:ind w:right="177"/>
              <w:contextualSpacing/>
              <w:jc w:val="both"/>
              <w:rPr>
                <w:rFonts w:ascii="Times New Roman" w:hAnsi="Times New Roman"/>
                <w:sz w:val="24"/>
              </w:rPr>
            </w:pPr>
            <w:r>
              <w:rPr>
                <w:rFonts w:ascii="Times New Roman" w:hAnsi="Times New Roman"/>
                <w:sz w:val="24"/>
              </w:rPr>
              <w:t xml:space="preserve">6777000, </w:t>
            </w:r>
            <w:proofErr w:type="spellStart"/>
            <w:r>
              <w:rPr>
                <w:rFonts w:ascii="Times New Roman" w:hAnsi="Times New Roman"/>
                <w:sz w:val="24"/>
              </w:rPr>
              <w:t>Россикйская</w:t>
            </w:r>
            <w:proofErr w:type="spellEnd"/>
            <w:r>
              <w:rPr>
                <w:rFonts w:ascii="Times New Roman" w:hAnsi="Times New Roman"/>
                <w:sz w:val="24"/>
              </w:rPr>
              <w:t xml:space="preserve"> Федерация, Республика Саха (Якутия), г. Якутск, ул. Чиряева, 3 79142729764, дою 2393</w:t>
            </w:r>
          </w:p>
          <w:p w:rsidR="00F9570F" w:rsidRDefault="00F9570F" w:rsidP="006B56F0">
            <w:pPr>
              <w:ind w:right="177"/>
              <w:contextualSpacing/>
              <w:jc w:val="both"/>
              <w:rPr>
                <w:rFonts w:ascii="Times New Roman" w:hAnsi="Times New Roman"/>
                <w:sz w:val="24"/>
                <w:lang w:val="en-US"/>
              </w:rPr>
            </w:pPr>
            <w:hyperlink r:id="rId4" w:history="1">
              <w:r w:rsidRPr="002F7A92">
                <w:rPr>
                  <w:rStyle w:val="a4"/>
                  <w:rFonts w:ascii="Times New Roman" w:hAnsi="Times New Roman"/>
                  <w:sz w:val="24"/>
                  <w:lang w:val="en-US"/>
                </w:rPr>
                <w:t>torgi.sngs@mail.ru</w:t>
              </w:r>
            </w:hyperlink>
          </w:p>
          <w:p w:rsidR="00F9570F" w:rsidRPr="00CD3555" w:rsidRDefault="00F9570F" w:rsidP="006B56F0">
            <w:pPr>
              <w:ind w:right="177"/>
              <w:contextualSpacing/>
              <w:jc w:val="both"/>
              <w:rPr>
                <w:rFonts w:ascii="Times New Roman" w:eastAsia="Times New Roman" w:hAnsi="Times New Roman"/>
                <w:sz w:val="24"/>
                <w:szCs w:val="24"/>
                <w:lang w:val="en-US" w:eastAsia="ru-RU"/>
              </w:rPr>
            </w:pPr>
          </w:p>
        </w:tc>
        <w:tc>
          <w:tcPr>
            <w:tcW w:w="1559" w:type="dxa"/>
            <w:shd w:val="clear" w:color="auto" w:fill="auto"/>
            <w:vAlign w:val="center"/>
          </w:tcPr>
          <w:p w:rsidR="00F9570F" w:rsidRPr="00E060F8" w:rsidRDefault="00F9570F" w:rsidP="006B56F0">
            <w:pPr>
              <w:tabs>
                <w:tab w:val="left" w:pos="-360"/>
                <w:tab w:val="left" w:pos="360"/>
              </w:tabs>
              <w:autoSpaceDE w:val="0"/>
              <w:spacing w:after="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по ОКТМО</w:t>
            </w:r>
          </w:p>
        </w:tc>
        <w:tc>
          <w:tcPr>
            <w:tcW w:w="3125" w:type="dxa"/>
            <w:shd w:val="clear" w:color="auto" w:fill="auto"/>
            <w:vAlign w:val="center"/>
          </w:tcPr>
          <w:p w:rsidR="00F9570F" w:rsidRPr="00E060F8" w:rsidRDefault="00F9570F" w:rsidP="006B56F0">
            <w:pPr>
              <w:tabs>
                <w:tab w:val="left" w:pos="-360"/>
                <w:tab w:val="left" w:pos="360"/>
              </w:tabs>
              <w:autoSpaceDE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98701000</w:t>
            </w:r>
          </w:p>
          <w:p w:rsidR="00F9570F" w:rsidRPr="00E060F8" w:rsidRDefault="00F9570F" w:rsidP="006B56F0">
            <w:pPr>
              <w:tabs>
                <w:tab w:val="left" w:pos="-360"/>
                <w:tab w:val="left" w:pos="360"/>
              </w:tabs>
              <w:autoSpaceDE w:val="0"/>
              <w:spacing w:after="0" w:line="240" w:lineRule="auto"/>
              <w:jc w:val="center"/>
              <w:rPr>
                <w:rFonts w:ascii="Times New Roman" w:eastAsia="Times New Roman" w:hAnsi="Times New Roman"/>
                <w:sz w:val="24"/>
                <w:szCs w:val="24"/>
                <w:lang w:eastAsia="ru-RU"/>
              </w:rPr>
            </w:pPr>
          </w:p>
        </w:tc>
      </w:tr>
      <w:tr w:rsidR="00F9570F" w:rsidRPr="00E060F8" w:rsidTr="006B56F0">
        <w:trPr>
          <w:gridAfter w:val="1"/>
          <w:wAfter w:w="10" w:type="dxa"/>
        </w:trPr>
        <w:tc>
          <w:tcPr>
            <w:tcW w:w="5637" w:type="dxa"/>
            <w:vMerge w:val="restart"/>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5103" w:type="dxa"/>
            <w:vMerge w:val="restart"/>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rsidR="00F9570F" w:rsidRPr="00E060F8" w:rsidRDefault="00F9570F" w:rsidP="006B56F0">
            <w:pPr>
              <w:tabs>
                <w:tab w:val="left" w:pos="-360"/>
                <w:tab w:val="left" w:pos="360"/>
              </w:tabs>
              <w:autoSpaceDE w:val="0"/>
              <w:spacing w:after="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ИНН</w:t>
            </w:r>
          </w:p>
        </w:tc>
        <w:tc>
          <w:tcPr>
            <w:tcW w:w="3125" w:type="dxa"/>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r>
      <w:tr w:rsidR="00F9570F" w:rsidRPr="00E060F8" w:rsidTr="006B56F0">
        <w:trPr>
          <w:gridAfter w:val="1"/>
          <w:wAfter w:w="10" w:type="dxa"/>
          <w:trHeight w:val="562"/>
        </w:trPr>
        <w:tc>
          <w:tcPr>
            <w:tcW w:w="5637" w:type="dxa"/>
            <w:vMerge/>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p>
        </w:tc>
        <w:tc>
          <w:tcPr>
            <w:tcW w:w="5103" w:type="dxa"/>
            <w:vMerge/>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rsidR="00F9570F" w:rsidRPr="00E060F8" w:rsidRDefault="00F9570F" w:rsidP="006B56F0">
            <w:pPr>
              <w:tabs>
                <w:tab w:val="left" w:pos="-360"/>
                <w:tab w:val="left" w:pos="360"/>
              </w:tabs>
              <w:autoSpaceDE w:val="0"/>
              <w:spacing w:after="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КПП</w:t>
            </w:r>
          </w:p>
        </w:tc>
        <w:tc>
          <w:tcPr>
            <w:tcW w:w="3125" w:type="dxa"/>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r>
      <w:tr w:rsidR="00F9570F" w:rsidRPr="00E060F8" w:rsidTr="006B56F0">
        <w:trPr>
          <w:gridAfter w:val="1"/>
          <w:wAfter w:w="10" w:type="dxa"/>
        </w:trPr>
        <w:tc>
          <w:tcPr>
            <w:tcW w:w="5637" w:type="dxa"/>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Место нахождения, телефон, адрес электронной почты</w:t>
            </w:r>
          </w:p>
        </w:tc>
        <w:tc>
          <w:tcPr>
            <w:tcW w:w="5103" w:type="dxa"/>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rsidR="00F9570F" w:rsidRPr="00E060F8" w:rsidRDefault="00F9570F" w:rsidP="006B56F0">
            <w:pPr>
              <w:tabs>
                <w:tab w:val="left" w:pos="-360"/>
                <w:tab w:val="left" w:pos="360"/>
              </w:tabs>
              <w:autoSpaceDE w:val="0"/>
              <w:spacing w:after="0" w:line="240" w:lineRule="auto"/>
              <w:jc w:val="right"/>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по ОКТМО</w:t>
            </w:r>
          </w:p>
        </w:tc>
        <w:tc>
          <w:tcPr>
            <w:tcW w:w="3125" w:type="dxa"/>
            <w:shd w:val="clear" w:color="auto" w:fill="auto"/>
          </w:tcPr>
          <w:p w:rsidR="00F9570F" w:rsidRPr="00E060F8" w:rsidRDefault="00F9570F" w:rsidP="006B56F0">
            <w:pPr>
              <w:tabs>
                <w:tab w:val="left" w:pos="-360"/>
                <w:tab w:val="left" w:pos="360"/>
              </w:tabs>
              <w:autoSpaceDE w:val="0"/>
              <w:snapToGrid w:val="0"/>
              <w:spacing w:after="0" w:line="240" w:lineRule="auto"/>
              <w:jc w:val="center"/>
              <w:rPr>
                <w:rFonts w:ascii="Times New Roman" w:eastAsia="Times New Roman" w:hAnsi="Times New Roman"/>
                <w:sz w:val="24"/>
                <w:szCs w:val="24"/>
                <w:lang w:eastAsia="ru-RU"/>
              </w:rPr>
            </w:pPr>
          </w:p>
        </w:tc>
      </w:tr>
      <w:tr w:rsidR="00F9570F" w:rsidRPr="00E060F8" w:rsidTr="006B56F0">
        <w:tc>
          <w:tcPr>
            <w:tcW w:w="5637" w:type="dxa"/>
            <w:shd w:val="clear" w:color="auto" w:fill="auto"/>
            <w:vAlign w:val="center"/>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t>Наименование объекта закупки</w:t>
            </w:r>
          </w:p>
        </w:tc>
        <w:tc>
          <w:tcPr>
            <w:tcW w:w="9797" w:type="dxa"/>
            <w:gridSpan w:val="4"/>
            <w:shd w:val="clear" w:color="auto" w:fill="auto"/>
          </w:tcPr>
          <w:p w:rsidR="00F9570F" w:rsidRPr="00E060F8" w:rsidRDefault="00F9570F" w:rsidP="006B56F0">
            <w:pPr>
              <w:snapToGrid w:val="0"/>
              <w:spacing w:after="0" w:line="240" w:lineRule="auto"/>
              <w:rPr>
                <w:rFonts w:ascii="Times New Roman" w:eastAsia="Times New Roman" w:hAnsi="Times New Roman"/>
                <w:sz w:val="24"/>
                <w:szCs w:val="24"/>
                <w:lang w:eastAsia="ru-RU"/>
              </w:rPr>
            </w:pPr>
            <w:r w:rsidRPr="00E060F8">
              <w:rPr>
                <w:rFonts w:ascii="Times New Roman" w:hAnsi="Times New Roman"/>
                <w:sz w:val="24"/>
                <w:szCs w:val="24"/>
              </w:rPr>
              <w:t>Оказание услуг по проведению обязательного ежегодного аудита бухгалтерской (финансовой) отчетности общественно зна</w:t>
            </w:r>
            <w:r>
              <w:rPr>
                <w:rFonts w:ascii="Times New Roman" w:hAnsi="Times New Roman"/>
                <w:sz w:val="24"/>
                <w:szCs w:val="24"/>
              </w:rPr>
              <w:t>чимой организации АО «Саханефтегазсбыт» за 2026-2028 гг.</w:t>
            </w:r>
          </w:p>
        </w:tc>
      </w:tr>
    </w:tbl>
    <w:p w:rsidR="00F9570F" w:rsidRPr="00E060F8" w:rsidRDefault="00F9570F" w:rsidP="00F9570F">
      <w:pPr>
        <w:rPr>
          <w:rFonts w:ascii="Times New Roman" w:eastAsia="Times New Roman" w:hAnsi="Times New Roman"/>
          <w:sz w:val="24"/>
          <w:szCs w:val="24"/>
          <w:lang w:eastAsia="ru-RU"/>
        </w:rPr>
      </w:pPr>
    </w:p>
    <w:p w:rsidR="00F9570F" w:rsidRPr="00E060F8" w:rsidRDefault="00F9570F" w:rsidP="00F9570F">
      <w:pPr>
        <w:widowControl w:val="0"/>
        <w:ind w:firstLine="567"/>
        <w:jc w:val="both"/>
        <w:rPr>
          <w:rFonts w:ascii="Times New Roman" w:eastAsia="Times New Roman" w:hAnsi="Times New Roman"/>
          <w:sz w:val="24"/>
          <w:szCs w:val="24"/>
          <w:lang w:eastAsia="ru-RU"/>
        </w:rPr>
      </w:pPr>
    </w:p>
    <w:p w:rsidR="00F9570F" w:rsidRPr="00E060F8" w:rsidRDefault="00F9570F" w:rsidP="00F9570F">
      <w:pPr>
        <w:spacing w:after="200" w:line="276" w:lineRule="auto"/>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br w:type="page"/>
      </w:r>
    </w:p>
    <w:p w:rsidR="00F9570F" w:rsidRPr="00E060F8" w:rsidRDefault="00F9570F" w:rsidP="00F9570F">
      <w:pPr>
        <w:widowControl w:val="0"/>
        <w:ind w:firstLine="567"/>
        <w:jc w:val="center"/>
        <w:rPr>
          <w:rFonts w:ascii="Times New Roman" w:eastAsia="Times New Roman" w:hAnsi="Times New Roman"/>
          <w:sz w:val="24"/>
          <w:szCs w:val="24"/>
          <w:lang w:eastAsia="ru-RU"/>
        </w:rPr>
      </w:pPr>
      <w:r w:rsidRPr="00E060F8">
        <w:rPr>
          <w:rFonts w:ascii="Times New Roman" w:eastAsia="Times New Roman" w:hAnsi="Times New Roman"/>
          <w:sz w:val="24"/>
          <w:szCs w:val="24"/>
          <w:lang w:eastAsia="ru-RU"/>
        </w:rPr>
        <w:lastRenderedPageBreak/>
        <w:t>II. Критерии и показатели оценки заявок на участие в закупке</w:t>
      </w:r>
    </w:p>
    <w:tbl>
      <w:tblPr>
        <w:tblStyle w:val="a3"/>
        <w:tblW w:w="0" w:type="auto"/>
        <w:tblInd w:w="108" w:type="dxa"/>
        <w:tblLayout w:type="fixed"/>
        <w:tblLook w:val="04A0" w:firstRow="1" w:lastRow="0" w:firstColumn="1" w:lastColumn="0" w:noHBand="0" w:noVBand="1"/>
      </w:tblPr>
      <w:tblGrid>
        <w:gridCol w:w="589"/>
        <w:gridCol w:w="2133"/>
        <w:gridCol w:w="1418"/>
        <w:gridCol w:w="1417"/>
        <w:gridCol w:w="1389"/>
        <w:gridCol w:w="1985"/>
        <w:gridCol w:w="1984"/>
        <w:gridCol w:w="4423"/>
      </w:tblGrid>
      <w:tr w:rsidR="00F9570F" w:rsidRPr="00E060F8" w:rsidTr="006B56F0">
        <w:trPr>
          <w:tblHeader/>
        </w:trPr>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w:t>
            </w:r>
          </w:p>
        </w:tc>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Значимость критерия оценки, процентов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Показатель оценки</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Значимость показателя оценки, процентов</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Показатель оценки, детализирующий показатель оценки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Значимость показателя, детализирующего показатель оценки, процентов</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rPr>
            </w:pPr>
            <w:r w:rsidRPr="00E060F8">
              <w:rPr>
                <w:rFonts w:ascii="Times New Roman" w:eastAsia="Times New Roman" w:hAnsi="Times New Roman"/>
              </w:rPr>
              <w:t>Формула оценки или шкала оценки</w:t>
            </w:r>
          </w:p>
        </w:tc>
      </w:tr>
      <w:tr w:rsidR="00F9570F" w:rsidRPr="00E060F8" w:rsidTr="006B56F0">
        <w:tc>
          <w:tcPr>
            <w:tcW w:w="589"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1.</w:t>
            </w:r>
          </w:p>
        </w:tc>
        <w:tc>
          <w:tcPr>
            <w:tcW w:w="2133"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Цена контракта, сумма цен единиц товары, работы, услуги</w:t>
            </w:r>
          </w:p>
        </w:tc>
        <w:tc>
          <w:tcPr>
            <w:tcW w:w="1418"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Pr>
                <w:rFonts w:ascii="Times New Roman" w:eastAsia="Times New Roman" w:hAnsi="Times New Roman"/>
                <w:sz w:val="22"/>
                <w:szCs w:val="22"/>
                <w:lang w:val="en-US"/>
              </w:rPr>
              <w:t>6</w:t>
            </w:r>
            <w:r w:rsidRPr="00E060F8">
              <w:rPr>
                <w:rFonts w:ascii="Times New Roman" w:eastAsia="Times New Roman" w:hAnsi="Times New Roman"/>
                <w:sz w:val="22"/>
                <w:szCs w:val="22"/>
              </w:rPr>
              <w:t>0</w:t>
            </w:r>
          </w:p>
        </w:tc>
        <w:tc>
          <w:tcPr>
            <w:tcW w:w="1417"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w:t>
            </w:r>
          </w:p>
        </w:tc>
        <w:tc>
          <w:tcPr>
            <w:tcW w:w="1389"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Оценка заявок осуществляется по формулам: а) за исключением случаев, предусмотренных </w:t>
            </w:r>
            <w:hyperlink r:id="rId5" w:anchor="block_1092" w:history="1">
              <w:r w:rsidRPr="00E060F8">
                <w:rPr>
                  <w:rFonts w:ascii="Times New Roman" w:eastAsia="Times New Roman" w:hAnsi="Times New Roman"/>
                  <w:sz w:val="22"/>
                  <w:szCs w:val="22"/>
                </w:rPr>
                <w:t>подпунктом "б"</w:t>
              </w:r>
            </w:hyperlink>
            <w:r w:rsidRPr="00E060F8">
              <w:rPr>
                <w:rFonts w:ascii="Times New Roman" w:eastAsia="Times New Roman" w:hAnsi="Times New Roman"/>
                <w:sz w:val="22"/>
                <w:szCs w:val="22"/>
              </w:rPr>
              <w:t xml:space="preserve"> настоящего пункта и пунктом 10 постановления Правительства РФ от 31.12.2021 № 2604 - по формуле:</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 </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noProof/>
              </w:rPr>
              <w:drawing>
                <wp:inline distT="0" distB="0" distL="0" distR="0" wp14:anchorId="3098C293" wp14:editId="6F6D5D56">
                  <wp:extent cx="2057400" cy="561975"/>
                  <wp:effectExtent l="0" t="0" r="0" b="0"/>
                  <wp:docPr id="6" name="Рисунок 6" descr="https://base.garant.ru/files/base/403337669/3258619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files/base/403337669/325861926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r w:rsidRPr="00E060F8">
              <w:rPr>
                <w:rFonts w:ascii="Times New Roman" w:eastAsia="Times New Roman" w:hAnsi="Times New Roman"/>
                <w:sz w:val="22"/>
                <w:szCs w:val="22"/>
              </w:rPr>
              <w:t>,</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 </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где:</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noProof/>
              </w:rPr>
              <w:drawing>
                <wp:inline distT="0" distB="0" distL="0" distR="0" wp14:anchorId="51A2A793" wp14:editId="68038BA4">
                  <wp:extent cx="190500" cy="238125"/>
                  <wp:effectExtent l="0" t="0" r="0" b="0"/>
                  <wp:docPr id="5" name="Рисунок 5" descr="https://base.garant.ru/files/base/403337669/2994140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e.garant.ru/files/base/403337669/29941403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060F8">
              <w:rPr>
                <w:rFonts w:ascii="Times New Roman" w:eastAsia="Times New Roman" w:hAnsi="Times New Roman"/>
                <w:sz w:val="22"/>
                <w:szCs w:val="22"/>
              </w:rPr>
              <w:t>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8" w:anchor="block_2224" w:history="1">
              <w:r w:rsidRPr="00E060F8">
                <w:rPr>
                  <w:rFonts w:ascii="Times New Roman" w:eastAsia="Times New Roman" w:hAnsi="Times New Roman"/>
                  <w:sz w:val="22"/>
                  <w:szCs w:val="22"/>
                </w:rPr>
                <w:t>частью 24 статьи 22</w:t>
              </w:r>
            </w:hyperlink>
            <w:r w:rsidRPr="00E060F8">
              <w:rPr>
                <w:rFonts w:ascii="Times New Roman" w:eastAsia="Times New Roman" w:hAnsi="Times New Roman"/>
                <w:sz w:val="22"/>
                <w:szCs w:val="22"/>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ФЗ-44), в том числе при проведении в этом случае совместного конкурса), заявка (часть заявки) которого подлежит в соответствии с ФЗ-44оценке по критерию оценки "цена контракта, сумма цен единиц товара, работы, услуги" (далее - ценовое предложение);</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noProof/>
              </w:rPr>
              <w:lastRenderedPageBreak/>
              <w:drawing>
                <wp:inline distT="0" distB="0" distL="0" distR="0" wp14:anchorId="6B10F93A" wp14:editId="0536206F">
                  <wp:extent cx="228600" cy="238125"/>
                  <wp:effectExtent l="0" t="0" r="0" b="0"/>
                  <wp:docPr id="4" name="Рисунок 4" descr="https://base.garant.ru/files/base/403337669/1862952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files/base/403337669/186295224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E060F8">
              <w:rPr>
                <w:rFonts w:ascii="Times New Roman" w:eastAsia="Times New Roman" w:hAnsi="Times New Roman"/>
                <w:sz w:val="22"/>
                <w:szCs w:val="22"/>
              </w:rPr>
              <w:t> - наилучшее ценовое предложение из числа предложенных в соответствии с </w:t>
            </w:r>
            <w:hyperlink r:id="rId10" w:anchor="block_22" w:history="1">
              <w:r w:rsidRPr="00E060F8">
                <w:rPr>
                  <w:rFonts w:ascii="Times New Roman" w:eastAsia="Times New Roman" w:hAnsi="Times New Roman"/>
                  <w:sz w:val="22"/>
                  <w:szCs w:val="22"/>
                </w:rPr>
                <w:t>Федеральным законом</w:t>
              </w:r>
            </w:hyperlink>
            <w:r w:rsidRPr="00E060F8">
              <w:rPr>
                <w:rFonts w:ascii="Times New Roman" w:eastAsia="Times New Roman" w:hAnsi="Times New Roman"/>
                <w:sz w:val="22"/>
                <w:szCs w:val="22"/>
              </w:rPr>
              <w:t> участниками закупки, заявки (части заявки) которых подлежат оценке по критерию оценки "цена контракта, сумма цен единиц товара, работы, услуги";</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ФЗ-44 оценке по указанному критерию оценки (</w:t>
            </w:r>
            <w:r w:rsidRPr="00E060F8">
              <w:rPr>
                <w:rFonts w:ascii="Times New Roman" w:eastAsia="Times New Roman" w:hAnsi="Times New Roman"/>
                <w:noProof/>
              </w:rPr>
              <w:drawing>
                <wp:inline distT="0" distB="0" distL="0" distR="0" wp14:anchorId="0886E745" wp14:editId="3A62E43C">
                  <wp:extent cx="285750" cy="238125"/>
                  <wp:effectExtent l="0" t="0" r="0" b="0"/>
                  <wp:docPr id="3" name="Рисунок 3" descr="https://base.garant.ru/files/base/403337669/3426754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se.garant.ru/files/base/403337669/34267543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E060F8">
              <w:rPr>
                <w:rFonts w:ascii="Times New Roman" w:eastAsia="Times New Roman" w:hAnsi="Times New Roman"/>
                <w:sz w:val="22"/>
                <w:szCs w:val="22"/>
              </w:rPr>
              <w:t>), определяется по формуле:</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 </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noProof/>
              </w:rPr>
              <w:drawing>
                <wp:inline distT="0" distB="0" distL="0" distR="0" wp14:anchorId="7EDAA50A" wp14:editId="24FA6945">
                  <wp:extent cx="1952625" cy="485775"/>
                  <wp:effectExtent l="0" t="0" r="0" b="0"/>
                  <wp:docPr id="2" name="Рисунок 2" descr="https://base.garant.ru/files/base/403337669/3131948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se.garant.ru/files/base/403337669/31319487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485775"/>
                          </a:xfrm>
                          <a:prstGeom prst="rect">
                            <a:avLst/>
                          </a:prstGeom>
                          <a:noFill/>
                          <a:ln>
                            <a:noFill/>
                          </a:ln>
                        </pic:spPr>
                      </pic:pic>
                    </a:graphicData>
                  </a:graphic>
                </wp:inline>
              </w:drawing>
            </w:r>
            <w:r w:rsidRPr="00E060F8">
              <w:rPr>
                <w:rFonts w:ascii="Times New Roman" w:eastAsia="Times New Roman" w:hAnsi="Times New Roman"/>
                <w:sz w:val="22"/>
                <w:szCs w:val="22"/>
              </w:rPr>
              <w:t>,</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 </w:t>
            </w:r>
          </w:p>
          <w:p w:rsidR="00F9570F" w:rsidRPr="00E060F8" w:rsidRDefault="00F9570F" w:rsidP="006B56F0">
            <w:pPr>
              <w:tabs>
                <w:tab w:val="left" w:pos="-360"/>
                <w:tab w:val="left" w:pos="360"/>
              </w:tabs>
              <w:rPr>
                <w:rFonts w:ascii="Times New Roman" w:eastAsia="Times New Roman" w:hAnsi="Times New Roman"/>
                <w:sz w:val="22"/>
                <w:szCs w:val="22"/>
              </w:rPr>
            </w:pPr>
            <w:proofErr w:type="gramStart"/>
            <w:r w:rsidRPr="00E060F8">
              <w:rPr>
                <w:rFonts w:ascii="Times New Roman" w:eastAsia="Times New Roman" w:hAnsi="Times New Roman"/>
                <w:sz w:val="22"/>
                <w:szCs w:val="22"/>
              </w:rPr>
              <w:t>где </w:t>
            </w:r>
            <w:r w:rsidRPr="00E060F8">
              <w:rPr>
                <w:rFonts w:ascii="Times New Roman" w:eastAsia="Times New Roman" w:hAnsi="Times New Roman"/>
                <w:noProof/>
              </w:rPr>
              <w:drawing>
                <wp:inline distT="0" distB="0" distL="0" distR="0" wp14:anchorId="35A540A0" wp14:editId="1FAD1BAF">
                  <wp:extent cx="323850" cy="238125"/>
                  <wp:effectExtent l="0" t="0" r="0" b="0"/>
                  <wp:docPr id="1" name="Рисунок 1" descr="https://base.garant.ru/files/base/403337669/9265989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se.garant.ru/files/base/403337669/9265989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E060F8">
              <w:rPr>
                <w:rFonts w:ascii="Times New Roman" w:eastAsia="Times New Roman" w:hAnsi="Times New Roman"/>
                <w:sz w:val="22"/>
                <w:szCs w:val="22"/>
              </w:rPr>
              <w:t> -</w:t>
            </w:r>
            <w:proofErr w:type="gramEnd"/>
            <w:r w:rsidRPr="00E060F8">
              <w:rPr>
                <w:rFonts w:ascii="Times New Roman" w:eastAsia="Times New Roman" w:hAnsi="Times New Roman"/>
                <w:sz w:val="22"/>
                <w:szCs w:val="22"/>
              </w:rPr>
              <w:t xml:space="preserve"> начальная (максимальная) цена контракта, или сумма начальных (макси-</w:t>
            </w:r>
            <w:proofErr w:type="spellStart"/>
            <w:r w:rsidRPr="00E060F8">
              <w:rPr>
                <w:rFonts w:ascii="Times New Roman" w:eastAsia="Times New Roman" w:hAnsi="Times New Roman"/>
                <w:sz w:val="22"/>
                <w:szCs w:val="22"/>
              </w:rPr>
              <w:t>мальных</w:t>
            </w:r>
            <w:proofErr w:type="spellEnd"/>
            <w:r w:rsidRPr="00E060F8">
              <w:rPr>
                <w:rFonts w:ascii="Times New Roman" w:eastAsia="Times New Roman" w:hAnsi="Times New Roman"/>
                <w:sz w:val="22"/>
                <w:szCs w:val="22"/>
              </w:rPr>
              <w:t xml:space="preserve">) цен каждого контракта, </w:t>
            </w:r>
            <w:proofErr w:type="spellStart"/>
            <w:r w:rsidRPr="00E060F8">
              <w:rPr>
                <w:rFonts w:ascii="Times New Roman" w:eastAsia="Times New Roman" w:hAnsi="Times New Roman"/>
                <w:sz w:val="22"/>
                <w:szCs w:val="22"/>
              </w:rPr>
              <w:t>заключае-мого</w:t>
            </w:r>
            <w:proofErr w:type="spellEnd"/>
            <w:r w:rsidRPr="00E060F8">
              <w:rPr>
                <w:rFonts w:ascii="Times New Roman" w:eastAsia="Times New Roman" w:hAnsi="Times New Roman"/>
                <w:sz w:val="22"/>
                <w:szCs w:val="22"/>
              </w:rPr>
              <w:t xml:space="preserve"> по результатам проведения </w:t>
            </w:r>
            <w:proofErr w:type="spellStart"/>
            <w:r w:rsidRPr="00E060F8">
              <w:rPr>
                <w:rFonts w:ascii="Times New Roman" w:eastAsia="Times New Roman" w:hAnsi="Times New Roman"/>
                <w:sz w:val="22"/>
                <w:szCs w:val="22"/>
              </w:rPr>
              <w:t>совмест-ного</w:t>
            </w:r>
            <w:proofErr w:type="spellEnd"/>
            <w:r w:rsidRPr="00E060F8">
              <w:rPr>
                <w:rFonts w:ascii="Times New Roman" w:eastAsia="Times New Roman" w:hAnsi="Times New Roman"/>
                <w:sz w:val="22"/>
                <w:szCs w:val="22"/>
              </w:rPr>
              <w:t xml:space="preserve"> конкурса (в случае проведения сов-местного конкурса), или начальная сумма цен единиц товаров, работ, услуг (в случае, предусмотренном </w:t>
            </w:r>
            <w:hyperlink r:id="rId14" w:anchor="block_2224" w:history="1">
              <w:r w:rsidRPr="00E060F8">
                <w:rPr>
                  <w:rFonts w:ascii="Times New Roman" w:eastAsia="Times New Roman" w:hAnsi="Times New Roman"/>
                  <w:sz w:val="22"/>
                  <w:szCs w:val="22"/>
                </w:rPr>
                <w:t>частью 24 статьи 22</w:t>
              </w:r>
            </w:hyperlink>
            <w:r w:rsidRPr="00E060F8">
              <w:rPr>
                <w:rFonts w:ascii="Times New Roman" w:eastAsia="Times New Roman" w:hAnsi="Times New Roman"/>
                <w:sz w:val="22"/>
                <w:szCs w:val="22"/>
              </w:rPr>
              <w:t> ФЗ-44, в том числе при проведении в таком случае совместного конкурса).</w:t>
            </w:r>
          </w:p>
        </w:tc>
      </w:tr>
      <w:tr w:rsidR="00F9570F" w:rsidRPr="00E060F8" w:rsidTr="00F9570F">
        <w:trPr>
          <w:trHeight w:val="3086"/>
        </w:trPr>
        <w:tc>
          <w:tcPr>
            <w:tcW w:w="589"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lastRenderedPageBreak/>
              <w:t>2.</w:t>
            </w:r>
          </w:p>
        </w:tc>
        <w:tc>
          <w:tcPr>
            <w:tcW w:w="2133" w:type="dxa"/>
            <w:vMerge w:val="restart"/>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Pr>
                <w:rFonts w:ascii="Times New Roman" w:eastAsia="Times New Roman" w:hAnsi="Times New Roman"/>
                <w:sz w:val="22"/>
                <w:szCs w:val="22"/>
                <w:lang w:val="en-US"/>
              </w:rPr>
              <w:t>4</w:t>
            </w:r>
            <w:r w:rsidRPr="00E060F8">
              <w:rPr>
                <w:rFonts w:ascii="Times New Roman" w:eastAsia="Times New Roman" w:hAnsi="Times New Roman"/>
                <w:sz w:val="22"/>
                <w:szCs w:val="22"/>
              </w:rPr>
              <w:t>0</w:t>
            </w:r>
          </w:p>
        </w:tc>
        <w:tc>
          <w:tcPr>
            <w:tcW w:w="1417"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2.1. Наличие у участников закупки опыта работы, связанного с предметом контракта</w:t>
            </w:r>
          </w:p>
        </w:tc>
        <w:tc>
          <w:tcPr>
            <w:tcW w:w="1389"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60</w:t>
            </w:r>
          </w:p>
        </w:tc>
        <w:tc>
          <w:tcPr>
            <w:tcW w:w="1985"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F9570F">
              <w:rPr>
                <w:rFonts w:ascii="Times New Roman" w:eastAsia="Times New Roman" w:hAnsi="Times New Roman"/>
                <w:sz w:val="22"/>
                <w:szCs w:val="22"/>
              </w:rPr>
              <w:t>Наибольшая цена одного из исполненных участником закупки контракта (договора)</w:t>
            </w:r>
          </w:p>
        </w:tc>
        <w:tc>
          <w:tcPr>
            <w:tcW w:w="1984"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100</w:t>
            </w:r>
          </w:p>
        </w:tc>
        <w:tc>
          <w:tcPr>
            <w:tcW w:w="4423" w:type="dxa"/>
            <w:tcBorders>
              <w:top w:val="single" w:sz="4" w:space="0" w:color="auto"/>
              <w:left w:val="single" w:sz="4" w:space="0" w:color="auto"/>
              <w:bottom w:val="single" w:sz="4" w:space="0" w:color="auto"/>
              <w:right w:val="single" w:sz="4" w:space="0" w:color="auto"/>
            </w:tcBorders>
            <w:hideMark/>
          </w:tcPr>
          <w:p w:rsidR="00F9570F" w:rsidRPr="00F9570F"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t>Значение количества баллов по критерию оценки определяется по формуле:</w:t>
            </w:r>
          </w:p>
          <w:p w:rsidR="00F9570F" w:rsidRPr="00F9570F"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object w:dxaOrig="3618" w:dyaOrig="810">
                <v:rect id="_x0000_i1286" style="width:180.75pt;height:40.5pt" o:ole="" o:preferrelative="t" stroked="f">
                  <v:imagedata r:id="rId15" o:title=""/>
                </v:rect>
                <o:OLEObject Type="Embed" ProgID="StaticMetafile" ShapeID="_x0000_i1286" DrawAspect="Content" ObjectID="_1837079826" r:id="rId16"/>
              </w:object>
            </w:r>
          </w:p>
          <w:p w:rsidR="00F9570F" w:rsidRPr="00F9570F" w:rsidRDefault="00F9570F" w:rsidP="00F9570F">
            <w:pPr>
              <w:tabs>
                <w:tab w:val="left" w:pos="-360"/>
                <w:tab w:val="left" w:pos="360"/>
              </w:tabs>
              <w:jc w:val="both"/>
              <w:rPr>
                <w:rFonts w:ascii="Times New Roman" w:eastAsia="Times New Roman" w:hAnsi="Times New Roman"/>
                <w:sz w:val="22"/>
                <w:szCs w:val="22"/>
              </w:rPr>
            </w:pPr>
          </w:p>
          <w:p w:rsidR="00F9570F" w:rsidRPr="00F9570F"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t>где:</w:t>
            </w:r>
          </w:p>
          <w:p w:rsidR="00F9570F" w:rsidRPr="00F9570F" w:rsidRDefault="00F9570F" w:rsidP="00F9570F">
            <w:pPr>
              <w:tabs>
                <w:tab w:val="left" w:pos="-360"/>
                <w:tab w:val="left" w:pos="360"/>
              </w:tabs>
              <w:jc w:val="both"/>
              <w:rPr>
                <w:rFonts w:ascii="Times New Roman" w:eastAsia="Times New Roman" w:hAnsi="Times New Roman"/>
                <w:sz w:val="22"/>
                <w:szCs w:val="22"/>
              </w:rPr>
            </w:pPr>
            <w:proofErr w:type="spellStart"/>
            <w:r w:rsidRPr="00F9570F">
              <w:rPr>
                <w:rFonts w:ascii="Times New Roman" w:eastAsia="Times New Roman" w:hAnsi="Times New Roman"/>
                <w:sz w:val="22"/>
                <w:szCs w:val="22"/>
              </w:rPr>
              <w:t>Хi</w:t>
            </w:r>
            <w:proofErr w:type="spellEnd"/>
            <w:r w:rsidRPr="00F9570F">
              <w:rPr>
                <w:rFonts w:ascii="Times New Roman" w:eastAsia="Times New Roman" w:hAnsi="Times New Roman"/>
                <w:sz w:val="22"/>
                <w:szCs w:val="22"/>
              </w:rPr>
              <w:t xml:space="preserve"> – значение показателя, содержащееся в предложении участника закупки, заявка которого подлежит оценке по показателю;</w:t>
            </w:r>
          </w:p>
          <w:p w:rsidR="00F9570F" w:rsidRPr="00F9570F" w:rsidRDefault="00F9570F" w:rsidP="00F9570F">
            <w:pPr>
              <w:tabs>
                <w:tab w:val="left" w:pos="-360"/>
                <w:tab w:val="left" w:pos="360"/>
              </w:tabs>
              <w:jc w:val="both"/>
              <w:rPr>
                <w:rFonts w:ascii="Times New Roman" w:eastAsia="Times New Roman" w:hAnsi="Times New Roman"/>
                <w:sz w:val="22"/>
                <w:szCs w:val="22"/>
              </w:rPr>
            </w:pPr>
            <w:proofErr w:type="spellStart"/>
            <w:r w:rsidRPr="00F9570F">
              <w:rPr>
                <w:rFonts w:ascii="Times New Roman" w:eastAsia="Times New Roman" w:hAnsi="Times New Roman"/>
                <w:sz w:val="22"/>
                <w:szCs w:val="22"/>
              </w:rPr>
              <w:t>Хmin</w:t>
            </w:r>
            <w:proofErr w:type="spellEnd"/>
            <w:r w:rsidRPr="00F9570F">
              <w:rPr>
                <w:rFonts w:ascii="Times New Roman" w:eastAsia="Times New Roman" w:hAnsi="Times New Roman"/>
                <w:sz w:val="22"/>
                <w:szCs w:val="22"/>
              </w:rPr>
              <w:t xml:space="preserve"> – минимальное значение показателя, содержащееся в заявках, подлежащих оценке по показателю;</w:t>
            </w:r>
          </w:p>
          <w:p w:rsidR="00F9570F" w:rsidRPr="00F9570F"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object w:dxaOrig="648" w:dyaOrig="450">
                <v:rect id="_x0000_i1287" style="width:31.5pt;height:22.5pt" o:ole="" o:preferrelative="t" stroked="f">
                  <v:imagedata r:id="rId17" o:title=""/>
                </v:rect>
                <o:OLEObject Type="Embed" ProgID="StaticMetafile" ShapeID="_x0000_i1287" DrawAspect="Content" ObjectID="_1837079827" r:id="rId18"/>
              </w:object>
            </w:r>
            <w:r w:rsidRPr="00F9570F">
              <w:rPr>
                <w:rFonts w:ascii="Times New Roman" w:eastAsia="Times New Roman" w:hAnsi="Times New Roman"/>
                <w:sz w:val="22"/>
                <w:szCs w:val="22"/>
              </w:rPr>
              <w:t>– предельное максимальное значение показателя, установленное заказчиком.</w:t>
            </w:r>
          </w:p>
          <w:p w:rsidR="00F9570F" w:rsidRPr="00F9570F"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object w:dxaOrig="648" w:dyaOrig="450">
                <v:rect id="_x0000_i1288" style="width:31.5pt;height:22.5pt" o:ole="" o:preferrelative="t" stroked="f">
                  <v:imagedata r:id="rId17" o:title=""/>
                </v:rect>
                <o:OLEObject Type="Embed" ProgID="StaticMetafile" ShapeID="_x0000_i1288" DrawAspect="Content" ObjectID="_1837079828" r:id="rId19"/>
              </w:object>
            </w:r>
            <w:r w:rsidRPr="00F9570F">
              <w:rPr>
                <w:rFonts w:ascii="Times New Roman" w:eastAsia="Times New Roman" w:hAnsi="Times New Roman"/>
                <w:sz w:val="22"/>
                <w:szCs w:val="22"/>
              </w:rPr>
              <w:t xml:space="preserve"> - 5 000 000 руб.</w:t>
            </w:r>
          </w:p>
          <w:p w:rsidR="00F9570F" w:rsidRPr="00F9570F" w:rsidRDefault="00F9570F" w:rsidP="00F9570F">
            <w:pPr>
              <w:tabs>
                <w:tab w:val="left" w:pos="-360"/>
                <w:tab w:val="left" w:pos="360"/>
              </w:tabs>
              <w:jc w:val="both"/>
              <w:rPr>
                <w:rFonts w:ascii="Times New Roman" w:eastAsia="Times New Roman" w:hAnsi="Times New Roman"/>
                <w:sz w:val="22"/>
                <w:szCs w:val="22"/>
              </w:rPr>
            </w:pPr>
          </w:p>
          <w:p w:rsidR="00F9570F" w:rsidRPr="00F9570F" w:rsidRDefault="00F9570F" w:rsidP="00F9570F">
            <w:pPr>
              <w:tabs>
                <w:tab w:val="left" w:pos="-360"/>
                <w:tab w:val="left" w:pos="360"/>
              </w:tabs>
              <w:jc w:val="both"/>
              <w:rPr>
                <w:rFonts w:ascii="Times New Roman" w:eastAsia="Times New Roman" w:hAnsi="Times New Roman"/>
                <w:sz w:val="22"/>
                <w:szCs w:val="22"/>
              </w:rPr>
            </w:pPr>
          </w:p>
          <w:p w:rsidR="00F9570F" w:rsidRPr="00F9570F" w:rsidRDefault="00F9570F" w:rsidP="00F9570F">
            <w:pPr>
              <w:tabs>
                <w:tab w:val="left" w:pos="-360"/>
                <w:tab w:val="left" w:pos="360"/>
              </w:tabs>
              <w:jc w:val="both"/>
              <w:rPr>
                <w:rFonts w:ascii="Times New Roman" w:eastAsia="Times New Roman" w:hAnsi="Times New Roman"/>
                <w:sz w:val="22"/>
                <w:szCs w:val="22"/>
              </w:rPr>
            </w:pPr>
          </w:p>
          <w:p w:rsidR="00F9570F" w:rsidRPr="00F9570F"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t xml:space="preserve">Если установлены предусмотренные пунктом 20 Положения об оценке заявок на участие в закупке товаров, работ, услуг для обеспечения государственных и муниципальных нужд, утв. Постановлением Правительства РФ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w:t>
            </w:r>
            <w:r w:rsidRPr="00F9570F">
              <w:rPr>
                <w:rFonts w:ascii="Times New Roman" w:eastAsia="Times New Roman" w:hAnsi="Times New Roman"/>
                <w:sz w:val="22"/>
                <w:szCs w:val="22"/>
              </w:rPr>
              <w:lastRenderedPageBreak/>
              <w:t>Федерации" предельное максимальное и (или) предельное минимальное значение характеристики и в предложении участника закупки содержится значение, которое выше и (или) ниже такого предельного значения соответственно, баллы по детализирующему показателю в соответствии с пунктом 20 настоящего Положения присваиваются в размере, предусмотренном для соответствующего предельного значения характеристики.</w:t>
            </w:r>
          </w:p>
          <w:p w:rsidR="00F9570F" w:rsidRPr="00E060F8" w:rsidRDefault="00F9570F" w:rsidP="006B56F0">
            <w:pPr>
              <w:tabs>
                <w:tab w:val="left" w:pos="-360"/>
                <w:tab w:val="left" w:pos="360"/>
              </w:tabs>
              <w:rPr>
                <w:rFonts w:ascii="Times New Roman" w:eastAsia="Times New Roman" w:hAnsi="Times New Roman"/>
                <w:b/>
                <w:sz w:val="22"/>
                <w:szCs w:val="22"/>
              </w:rPr>
            </w:pPr>
          </w:p>
        </w:tc>
      </w:tr>
      <w:tr w:rsidR="00F9570F" w:rsidRPr="00E060F8" w:rsidTr="006B56F0">
        <w:tc>
          <w:tcPr>
            <w:tcW w:w="589" w:type="dxa"/>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jc w:val="center"/>
              <w:rPr>
                <w:rFonts w:ascii="Times New Roman" w:eastAsia="Times New Roman" w:hAnsi="Times New Roman"/>
                <w:sz w:val="22"/>
                <w:szCs w:val="22"/>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F9570F" w:rsidRPr="00E060F8" w:rsidRDefault="00F9570F" w:rsidP="006B56F0">
            <w:pPr>
              <w:rPr>
                <w:rFonts w:ascii="Times New Roman" w:eastAsia="Times New Roman" w:hAnsi="Times New Roman"/>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570F" w:rsidRPr="00E060F8" w:rsidRDefault="00F9570F" w:rsidP="006B56F0">
            <w:pPr>
              <w:rPr>
                <w:rFonts w:ascii="Times New Roman" w:eastAsia="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2.2. Наличие у участников закупки специалистов и иных работников определенного уровня квалификации</w:t>
            </w:r>
          </w:p>
        </w:tc>
        <w:tc>
          <w:tcPr>
            <w:tcW w:w="1389"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40</w:t>
            </w:r>
          </w:p>
        </w:tc>
        <w:tc>
          <w:tcPr>
            <w:tcW w:w="1985"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Наличие у участника специалистов, обладающих квалификационным аттестатом аудитора, выданным СРО аудиторов в соответствии с Федеральным законом от 30.12.2008 № 307-ФЗ «Об аудиторской деятельности»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100</w:t>
            </w:r>
          </w:p>
        </w:tc>
        <w:tc>
          <w:tcPr>
            <w:tcW w:w="4423" w:type="dxa"/>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Оценка заявок осуществляется по формуле.</w:t>
            </w:r>
          </w:p>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Значение количества баллов по детализирующему показателю, присваиваемых заявке, подлежащей в соответствии с Федеральным законом оценке по критерию оценки (</w:t>
            </w:r>
            <w:proofErr w:type="spellStart"/>
            <w:r w:rsidRPr="00E060F8">
              <w:rPr>
                <w:rFonts w:ascii="Times New Roman" w:eastAsia="Times New Roman" w:hAnsi="Times New Roman"/>
                <w:sz w:val="22"/>
                <w:szCs w:val="22"/>
              </w:rPr>
              <w:t>БХi</w:t>
            </w:r>
            <w:proofErr w:type="spellEnd"/>
            <w:r w:rsidRPr="00E060F8">
              <w:rPr>
                <w:rFonts w:ascii="Times New Roman" w:eastAsia="Times New Roman" w:hAnsi="Times New Roman"/>
                <w:sz w:val="22"/>
                <w:szCs w:val="22"/>
              </w:rPr>
              <w:t>), рассчитывается по следующей формуле:</w:t>
            </w:r>
          </w:p>
          <w:p w:rsidR="00F9570F" w:rsidRPr="00E060F8" w:rsidRDefault="00F9570F" w:rsidP="006B56F0">
            <w:pPr>
              <w:tabs>
                <w:tab w:val="left" w:pos="-360"/>
                <w:tab w:val="left" w:pos="360"/>
              </w:tabs>
              <w:jc w:val="center"/>
              <w:rPr>
                <w:rFonts w:ascii="Times New Roman" w:eastAsia="Times New Roman" w:hAnsi="Times New Roman"/>
                <w:sz w:val="22"/>
                <w:szCs w:val="22"/>
              </w:rPr>
            </w:pPr>
            <m:oMath>
              <m:sSub>
                <m:sSubPr>
                  <m:ctrlPr>
                    <w:rPr>
                      <w:rFonts w:ascii="Cambria Math" w:eastAsia="Times New Roman" w:hAnsi="Cambria Math"/>
                      <w:sz w:val="22"/>
                      <w:szCs w:val="22"/>
                    </w:rPr>
                  </m:ctrlPr>
                </m:sSubPr>
                <m:e>
                  <m:r>
                    <m:rPr>
                      <m:sty m:val="p"/>
                    </m:rPr>
                    <w:rPr>
                      <w:rFonts w:ascii="Cambria Math" w:eastAsia="Times New Roman" w:hAnsi="Cambria Math"/>
                      <w:sz w:val="22"/>
                      <w:szCs w:val="22"/>
                    </w:rPr>
                    <m:t>БХ</m:t>
                  </m:r>
                </m:e>
                <m:sub>
                  <m:r>
                    <m:rPr>
                      <m:sty m:val="p"/>
                    </m:rPr>
                    <w:rPr>
                      <w:rFonts w:ascii="Cambria Math" w:eastAsia="Times New Roman" w:hAnsi="Cambria Math"/>
                      <w:sz w:val="22"/>
                      <w:szCs w:val="22"/>
                    </w:rPr>
                    <m:t>i</m:t>
                  </m:r>
                </m:sub>
              </m:sSub>
              <m:r>
                <m:rPr>
                  <m:sty m:val="p"/>
                </m:rPr>
                <w:rPr>
                  <w:rFonts w:ascii="Cambria Math" w:eastAsia="Times New Roman" w:hAnsi="Cambria Math"/>
                  <w:sz w:val="22"/>
                  <w:szCs w:val="22"/>
                </w:rPr>
                <m:t>=</m:t>
              </m:r>
              <m:d>
                <m:dPr>
                  <m:ctrlPr>
                    <w:rPr>
                      <w:rFonts w:ascii="Cambria Math" w:eastAsia="Times New Roman" w:hAnsi="Cambria Math"/>
                      <w:sz w:val="22"/>
                      <w:szCs w:val="22"/>
                    </w:rPr>
                  </m:ctrlPr>
                </m:dPr>
                <m:e>
                  <m:sSub>
                    <m:sSubPr>
                      <m:ctrlPr>
                        <w:rPr>
                          <w:rFonts w:ascii="Cambria Math" w:eastAsia="Times New Roman" w:hAnsi="Cambria Math"/>
                          <w:sz w:val="22"/>
                          <w:szCs w:val="22"/>
                        </w:rPr>
                      </m:ctrlPr>
                    </m:sSubPr>
                    <m:e>
                      <m:r>
                        <m:rPr>
                          <m:sty m:val="p"/>
                        </m:rPr>
                        <w:rPr>
                          <w:rFonts w:ascii="Cambria Math" w:eastAsia="Times New Roman" w:hAnsi="Cambria Math"/>
                          <w:sz w:val="22"/>
                          <w:szCs w:val="22"/>
                        </w:rPr>
                        <m:t>Х</m:t>
                      </m:r>
                    </m:e>
                    <m:sub>
                      <m:r>
                        <m:rPr>
                          <m:sty m:val="p"/>
                        </m:rPr>
                        <w:rPr>
                          <w:rFonts w:ascii="Cambria Math" w:eastAsia="Times New Roman" w:hAnsi="Cambria Math"/>
                          <w:sz w:val="22"/>
                          <w:szCs w:val="22"/>
                        </w:rPr>
                        <m:t>i</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Х</m:t>
                      </m:r>
                    </m:e>
                    <m:sub>
                      <m:r>
                        <m:rPr>
                          <m:sty m:val="p"/>
                        </m:rPr>
                        <w:rPr>
                          <w:rFonts w:ascii="Cambria Math" w:eastAsia="Times New Roman" w:hAnsi="Cambria Math"/>
                          <w:sz w:val="22"/>
                          <w:szCs w:val="22"/>
                        </w:rPr>
                        <m:t>min</m:t>
                      </m:r>
                    </m:sub>
                  </m:sSub>
                </m:e>
              </m:d>
              <m:r>
                <m:rPr>
                  <m:sty m:val="p"/>
                </m:rPr>
                <w:rPr>
                  <w:rFonts w:ascii="Cambria Math" w:eastAsia="Times New Roman" w:hAnsi="Cambria Math"/>
                  <w:sz w:val="22"/>
                  <w:szCs w:val="22"/>
                </w:rPr>
                <m:t>×</m:t>
              </m:r>
              <m:f>
                <m:fPr>
                  <m:ctrlPr>
                    <w:rPr>
                      <w:rFonts w:ascii="Cambria Math" w:eastAsia="Times New Roman" w:hAnsi="Cambria Math"/>
                      <w:sz w:val="22"/>
                      <w:szCs w:val="22"/>
                    </w:rPr>
                  </m:ctrlPr>
                </m:fPr>
                <m:num>
                  <m:r>
                    <m:rPr>
                      <m:sty m:val="p"/>
                    </m:rPr>
                    <w:rPr>
                      <w:rFonts w:ascii="Cambria Math" w:eastAsia="Times New Roman" w:hAnsi="Cambria Math"/>
                      <w:sz w:val="22"/>
                      <w:szCs w:val="22"/>
                    </w:rPr>
                    <m:t>100</m:t>
                  </m:r>
                </m:num>
                <m:den>
                  <m:sSubSup>
                    <m:sSubSupPr>
                      <m:ctrlPr>
                        <w:rPr>
                          <w:rFonts w:ascii="Cambria Math" w:eastAsia="Times New Roman" w:hAnsi="Cambria Math"/>
                          <w:sz w:val="22"/>
                          <w:szCs w:val="22"/>
                        </w:rPr>
                      </m:ctrlPr>
                    </m:sSubSupPr>
                    <m:e>
                      <m:r>
                        <m:rPr>
                          <m:sty m:val="p"/>
                        </m:rPr>
                        <w:rPr>
                          <w:rFonts w:ascii="Cambria Math" w:eastAsia="Times New Roman" w:hAnsi="Cambria Math"/>
                          <w:sz w:val="22"/>
                          <w:szCs w:val="22"/>
                        </w:rPr>
                        <m:t>Х</m:t>
                      </m:r>
                    </m:e>
                    <m:sub>
                      <m:r>
                        <m:rPr>
                          <m:sty m:val="p"/>
                        </m:rPr>
                        <w:rPr>
                          <w:rFonts w:ascii="Cambria Math" w:eastAsia="Times New Roman" w:hAnsi="Cambria Math"/>
                          <w:sz w:val="22"/>
                          <w:szCs w:val="22"/>
                        </w:rPr>
                        <m:t>max</m:t>
                      </m:r>
                    </m:sub>
                    <m:sup>
                      <m:r>
                        <m:rPr>
                          <m:sty m:val="p"/>
                        </m:rPr>
                        <w:rPr>
                          <w:rFonts w:ascii="Cambria Math" w:eastAsia="Times New Roman" w:hAnsi="Cambria Math"/>
                          <w:sz w:val="22"/>
                          <w:szCs w:val="22"/>
                        </w:rPr>
                        <m:t>пред</m:t>
                      </m:r>
                    </m:sup>
                  </m:sSubSup>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Х</m:t>
                      </m:r>
                    </m:e>
                    <m:sub>
                      <m:r>
                        <m:rPr>
                          <m:sty m:val="p"/>
                        </m:rPr>
                        <w:rPr>
                          <w:rFonts w:ascii="Cambria Math" w:eastAsia="Times New Roman" w:hAnsi="Cambria Math"/>
                          <w:sz w:val="22"/>
                          <w:szCs w:val="22"/>
                        </w:rPr>
                        <m:t>min</m:t>
                      </m:r>
                    </m:sub>
                  </m:sSub>
                </m:den>
              </m:f>
            </m:oMath>
            <w:r w:rsidRPr="00E060F8">
              <w:rPr>
                <w:rFonts w:ascii="Times New Roman" w:eastAsia="Times New Roman" w:hAnsi="Times New Roman"/>
                <w:sz w:val="22"/>
                <w:szCs w:val="22"/>
              </w:rPr>
              <w:t>,</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где:</w:t>
            </w:r>
          </w:p>
          <w:p w:rsidR="00F9570F" w:rsidRPr="00E060F8" w:rsidRDefault="00F9570F" w:rsidP="006B56F0">
            <w:pPr>
              <w:tabs>
                <w:tab w:val="left" w:pos="-360"/>
                <w:tab w:val="left" w:pos="360"/>
              </w:tabs>
              <w:rPr>
                <w:rFonts w:ascii="Times New Roman" w:eastAsia="Times New Roman" w:hAnsi="Times New Roman"/>
                <w:sz w:val="22"/>
                <w:szCs w:val="22"/>
              </w:rPr>
            </w:pPr>
            <w:proofErr w:type="spellStart"/>
            <w:r w:rsidRPr="00E060F8">
              <w:rPr>
                <w:rFonts w:ascii="Times New Roman" w:eastAsia="Times New Roman" w:hAnsi="Times New Roman"/>
                <w:sz w:val="22"/>
                <w:szCs w:val="22"/>
              </w:rPr>
              <w:t>Хi</w:t>
            </w:r>
            <w:proofErr w:type="spellEnd"/>
            <w:r w:rsidRPr="00E060F8">
              <w:rPr>
                <w:rFonts w:ascii="Times New Roman" w:eastAsia="Times New Roman" w:hAnsi="Times New Roman"/>
                <w:sz w:val="22"/>
                <w:szCs w:val="22"/>
              </w:rPr>
              <w:t xml:space="preserve"> – значение показателя, содержащееся в предложении участника закупки, заявка (часть заявки) которого подлежит в соответствии с Федеральным законом от 05.04.2013 №44-ФЗ оценке по показателю;</w:t>
            </w:r>
          </w:p>
          <w:p w:rsidR="00F9570F" w:rsidRPr="00E060F8" w:rsidRDefault="00F9570F" w:rsidP="006B56F0">
            <w:pPr>
              <w:tabs>
                <w:tab w:val="left" w:pos="-360"/>
                <w:tab w:val="left" w:pos="360"/>
              </w:tabs>
              <w:rPr>
                <w:rFonts w:ascii="Times New Roman" w:eastAsia="Times New Roman" w:hAnsi="Times New Roman"/>
                <w:sz w:val="22"/>
                <w:szCs w:val="22"/>
              </w:rPr>
            </w:pPr>
            <w:proofErr w:type="spellStart"/>
            <w:r w:rsidRPr="00E060F8">
              <w:rPr>
                <w:rFonts w:ascii="Times New Roman" w:eastAsia="Times New Roman" w:hAnsi="Times New Roman"/>
                <w:sz w:val="22"/>
                <w:szCs w:val="22"/>
              </w:rPr>
              <w:t>Хmin</w:t>
            </w:r>
            <w:proofErr w:type="spellEnd"/>
            <w:r w:rsidRPr="00E060F8">
              <w:rPr>
                <w:rFonts w:ascii="Times New Roman" w:eastAsia="Times New Roman" w:hAnsi="Times New Roman"/>
                <w:sz w:val="22"/>
                <w:szCs w:val="22"/>
              </w:rPr>
              <w:t xml:space="preserve"> – минимальное значение показателя, содержащееся в заявках (частях заявок), подлежащих в соответствии с Федеральным законом от 05.04.2013 №44-ФЗ оценке по показателю;</w:t>
            </w:r>
          </w:p>
          <w:p w:rsidR="00F9570F" w:rsidRPr="00E060F8" w:rsidRDefault="00F9570F" w:rsidP="006B56F0">
            <w:pPr>
              <w:tabs>
                <w:tab w:val="left" w:pos="-360"/>
                <w:tab w:val="left" w:pos="360"/>
              </w:tabs>
              <w:rPr>
                <w:rFonts w:ascii="Times New Roman" w:eastAsia="Times New Roman" w:hAnsi="Times New Roman"/>
                <w:sz w:val="22"/>
                <w:szCs w:val="22"/>
              </w:rPr>
            </w:pPr>
            <m:oMath>
              <m:sSubSup>
                <m:sSubSupPr>
                  <m:ctrlPr>
                    <w:rPr>
                      <w:rFonts w:ascii="Cambria Math" w:eastAsia="Times New Roman" w:hAnsi="Cambria Math"/>
                      <w:sz w:val="22"/>
                      <w:szCs w:val="22"/>
                    </w:rPr>
                  </m:ctrlPr>
                </m:sSubSupPr>
                <m:e>
                  <m:r>
                    <m:rPr>
                      <m:sty m:val="p"/>
                    </m:rPr>
                    <w:rPr>
                      <w:rFonts w:ascii="Cambria Math" w:eastAsia="Times New Roman" w:hAnsi="Cambria Math"/>
                      <w:sz w:val="22"/>
                      <w:szCs w:val="22"/>
                    </w:rPr>
                    <m:t>Х</m:t>
                  </m:r>
                </m:e>
                <m:sub>
                  <m:r>
                    <m:rPr>
                      <m:sty m:val="p"/>
                    </m:rPr>
                    <w:rPr>
                      <w:rFonts w:ascii="Cambria Math" w:eastAsia="Times New Roman" w:hAnsi="Cambria Math"/>
                      <w:sz w:val="22"/>
                      <w:szCs w:val="22"/>
                    </w:rPr>
                    <m:t>max</m:t>
                  </m:r>
                </m:sub>
                <m:sup>
                  <m:r>
                    <m:rPr>
                      <m:sty m:val="p"/>
                    </m:rPr>
                    <w:rPr>
                      <w:rFonts w:ascii="Cambria Math" w:eastAsia="Times New Roman" w:hAnsi="Cambria Math"/>
                      <w:sz w:val="22"/>
                      <w:szCs w:val="22"/>
                    </w:rPr>
                    <m:t>пред</m:t>
                  </m:r>
                </m:sup>
              </m:sSubSup>
            </m:oMath>
            <w:r w:rsidRPr="00E060F8">
              <w:rPr>
                <w:rFonts w:ascii="Times New Roman" w:eastAsia="Times New Roman" w:hAnsi="Times New Roman"/>
                <w:sz w:val="22"/>
                <w:szCs w:val="22"/>
              </w:rPr>
              <w:t xml:space="preserve"> – предельное максимальное значение показателя, установленное заказчиком,</w:t>
            </w:r>
          </w:p>
          <w:p w:rsidR="00F9570F" w:rsidRPr="00E060F8" w:rsidRDefault="00F9570F" w:rsidP="006B56F0">
            <w:pPr>
              <w:tabs>
                <w:tab w:val="left" w:pos="-360"/>
                <w:tab w:val="left" w:pos="360"/>
              </w:tabs>
              <w:rPr>
                <w:rFonts w:ascii="Times New Roman" w:eastAsia="Times New Roman" w:hAnsi="Times New Roman"/>
                <w:sz w:val="22"/>
                <w:szCs w:val="22"/>
              </w:rPr>
            </w:pPr>
            <m:oMathPara>
              <m:oMath>
                <m:sSubSup>
                  <m:sSubSupPr>
                    <m:ctrlPr>
                      <w:rPr>
                        <w:rFonts w:ascii="Cambria Math" w:eastAsia="Times New Roman" w:hAnsi="Cambria Math"/>
                        <w:b/>
                        <w:sz w:val="22"/>
                        <w:szCs w:val="22"/>
                      </w:rPr>
                    </m:ctrlPr>
                  </m:sSubSupPr>
                  <m:e>
                    <m:r>
                      <m:rPr>
                        <m:sty m:val="b"/>
                      </m:rPr>
                      <w:rPr>
                        <w:rFonts w:ascii="Cambria Math" w:eastAsia="Times New Roman" w:hAnsi="Cambria Math"/>
                        <w:sz w:val="22"/>
                        <w:szCs w:val="22"/>
                      </w:rPr>
                      <m:t>Х</m:t>
                    </m:r>
                  </m:e>
                  <m:sub>
                    <m:r>
                      <m:rPr>
                        <m:sty m:val="b"/>
                      </m:rPr>
                      <w:rPr>
                        <w:rFonts w:ascii="Cambria Math" w:eastAsia="Times New Roman" w:hAnsi="Cambria Math"/>
                        <w:sz w:val="22"/>
                        <w:szCs w:val="22"/>
                      </w:rPr>
                      <m:t>max</m:t>
                    </m:r>
                  </m:sub>
                  <m:sup>
                    <m:r>
                      <m:rPr>
                        <m:sty m:val="b"/>
                      </m:rPr>
                      <w:rPr>
                        <w:rFonts w:ascii="Cambria Math" w:eastAsia="Times New Roman" w:hAnsi="Cambria Math"/>
                        <w:sz w:val="22"/>
                        <w:szCs w:val="22"/>
                      </w:rPr>
                      <m:t>пред</m:t>
                    </m:r>
                  </m:sup>
                </m:sSubSup>
                <m:r>
                  <m:rPr>
                    <m:sty m:val="b"/>
                  </m:rPr>
                  <w:rPr>
                    <w:rFonts w:ascii="Cambria Math" w:eastAsia="Times New Roman" w:hAnsi="Cambria Math"/>
                    <w:sz w:val="22"/>
                    <w:szCs w:val="22"/>
                  </w:rPr>
                  <m:t>=40 специалистов</m:t>
                </m:r>
                <m:r>
                  <m:rPr>
                    <m:sty m:val="p"/>
                  </m:rPr>
                  <w:rPr>
                    <w:rFonts w:ascii="Cambria Math" w:eastAsia="Times New Roman" w:hAnsi="Cambria Math"/>
                    <w:sz w:val="22"/>
                    <w:szCs w:val="22"/>
                  </w:rPr>
                  <m:t>.</m:t>
                </m:r>
              </m:oMath>
            </m:oMathPara>
          </w:p>
          <w:p w:rsidR="00F9570F" w:rsidRPr="00E060F8" w:rsidRDefault="00F9570F" w:rsidP="006B56F0">
            <w:pPr>
              <w:tabs>
                <w:tab w:val="left" w:pos="-360"/>
                <w:tab w:val="left" w:pos="360"/>
              </w:tabs>
              <w:rPr>
                <w:rFonts w:ascii="Times New Roman" w:eastAsia="Times New Roman" w:hAnsi="Times New Roman"/>
                <w:sz w:val="22"/>
                <w:szCs w:val="22"/>
              </w:rPr>
            </w:pPr>
          </w:p>
        </w:tc>
      </w:tr>
    </w:tbl>
    <w:p w:rsidR="00F9570F" w:rsidRPr="00E060F8" w:rsidRDefault="00F9570F" w:rsidP="00F9570F">
      <w:pPr>
        <w:tabs>
          <w:tab w:val="left" w:pos="-360"/>
          <w:tab w:val="left" w:pos="360"/>
        </w:tabs>
        <w:jc w:val="center"/>
        <w:rPr>
          <w:rFonts w:ascii="Times New Roman" w:eastAsia="Times New Roman" w:hAnsi="Times New Roman"/>
          <w:lang w:eastAsia="ru-RU"/>
        </w:rPr>
      </w:pPr>
    </w:p>
    <w:p w:rsidR="00F9570F" w:rsidRPr="00E060F8" w:rsidRDefault="00F9570F" w:rsidP="00F9570F">
      <w:pPr>
        <w:spacing w:after="200" w:line="276" w:lineRule="auto"/>
        <w:rPr>
          <w:rFonts w:ascii="Times New Roman" w:eastAsia="Times New Roman" w:hAnsi="Times New Roman"/>
          <w:lang w:eastAsia="ru-RU"/>
        </w:rPr>
      </w:pPr>
      <w:r w:rsidRPr="00E060F8">
        <w:rPr>
          <w:rFonts w:ascii="Times New Roman" w:eastAsia="Times New Roman" w:hAnsi="Times New Roman"/>
          <w:lang w:eastAsia="ru-RU"/>
        </w:rPr>
        <w:br w:type="page"/>
      </w:r>
    </w:p>
    <w:p w:rsidR="00F9570F" w:rsidRPr="00E060F8" w:rsidRDefault="00F9570F" w:rsidP="00F9570F">
      <w:pPr>
        <w:tabs>
          <w:tab w:val="left" w:pos="-360"/>
          <w:tab w:val="left" w:pos="360"/>
        </w:tabs>
        <w:jc w:val="center"/>
        <w:rPr>
          <w:rFonts w:ascii="Times New Roman" w:eastAsia="Times New Roman" w:hAnsi="Times New Roman"/>
          <w:lang w:eastAsia="ru-RU"/>
        </w:rPr>
      </w:pPr>
      <w:r w:rsidRPr="00E060F8">
        <w:rPr>
          <w:rFonts w:ascii="Times New Roman" w:eastAsia="Times New Roman" w:hAnsi="Times New Roman"/>
          <w:lang w:eastAsia="ru-RU"/>
        </w:rPr>
        <w:lastRenderedPageBreak/>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bl>
      <w:tblPr>
        <w:tblStyle w:val="a3"/>
        <w:tblW w:w="0" w:type="auto"/>
        <w:tblInd w:w="108" w:type="dxa"/>
        <w:tblLook w:val="04A0" w:firstRow="1" w:lastRow="0" w:firstColumn="1" w:lastColumn="0" w:noHBand="0" w:noVBand="1"/>
      </w:tblPr>
      <w:tblGrid>
        <w:gridCol w:w="503"/>
        <w:gridCol w:w="4017"/>
        <w:gridCol w:w="10760"/>
      </w:tblGrid>
      <w:tr w:rsidR="00F9570F" w:rsidRPr="00E060F8" w:rsidTr="006B56F0">
        <w:trPr>
          <w:tblHeader/>
        </w:trPr>
        <w:tc>
          <w:tcPr>
            <w:tcW w:w="503" w:type="dxa"/>
            <w:tcBorders>
              <w:top w:val="single" w:sz="4" w:space="0" w:color="auto"/>
              <w:left w:val="single" w:sz="4" w:space="0" w:color="auto"/>
              <w:bottom w:val="single" w:sz="4" w:space="0" w:color="auto"/>
              <w:right w:val="single" w:sz="4" w:space="0" w:color="auto"/>
            </w:tcBorders>
            <w:shd w:val="clear" w:color="auto" w:fill="FFFFFF" w:themeFill="background1"/>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графой 3</w:t>
            </w:r>
          </w:p>
        </w:tc>
        <w:tc>
          <w:tcPr>
            <w:tcW w:w="10937" w:type="dxa"/>
            <w:tcBorders>
              <w:top w:val="single" w:sz="4" w:space="0" w:color="auto"/>
              <w:left w:val="single" w:sz="4" w:space="0" w:color="auto"/>
              <w:bottom w:val="single" w:sz="4" w:space="0" w:color="auto"/>
              <w:right w:val="single" w:sz="4" w:space="0" w:color="auto"/>
            </w:tcBorders>
            <w:shd w:val="clear" w:color="auto" w:fill="FFFFFF" w:themeFill="background1"/>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Положение о применении критерия оценки, показателя оценки, показателя оценки, детализирующего показатель оценки</w:t>
            </w:r>
          </w:p>
        </w:tc>
      </w:tr>
      <w:tr w:rsidR="00F9570F" w:rsidRPr="00E060F8" w:rsidTr="006B56F0">
        <w:trPr>
          <w:trHeight w:val="238"/>
          <w:tblHeader/>
        </w:trPr>
        <w:tc>
          <w:tcPr>
            <w:tcW w:w="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1</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2</w:t>
            </w:r>
          </w:p>
        </w:tc>
        <w:tc>
          <w:tcPr>
            <w:tcW w:w="10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3</w:t>
            </w:r>
          </w:p>
        </w:tc>
      </w:tr>
      <w:tr w:rsidR="00F9570F" w:rsidRPr="00E060F8" w:rsidTr="006B56F0">
        <w:tc>
          <w:tcPr>
            <w:tcW w:w="503" w:type="dxa"/>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jc w:val="center"/>
              <w:rPr>
                <w:rFonts w:ascii="Times New Roman" w:eastAsia="Times New Roman" w:hAnsi="Times New Roman"/>
                <w:sz w:val="22"/>
                <w:szCs w:val="22"/>
              </w:rPr>
            </w:pPr>
          </w:p>
        </w:tc>
        <w:tc>
          <w:tcPr>
            <w:tcW w:w="15003" w:type="dxa"/>
            <w:gridSpan w:val="2"/>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Порядок оценки заявок на участие в конкурсе осуществляется в соответствии со статьей 32 Федерального закона от 05.04.2013 № 44-ФЗ и с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РФ от 20 декабря 2021 г. № 2369 и признании утратившими силу некоторых актов и отдельных положений некоторых актов Правительства РФ».</w:t>
            </w:r>
          </w:p>
        </w:tc>
      </w:tr>
      <w:tr w:rsidR="00F9570F" w:rsidRPr="00E060F8" w:rsidTr="006B56F0">
        <w:trPr>
          <w:trHeight w:val="610"/>
        </w:trPr>
        <w:tc>
          <w:tcPr>
            <w:tcW w:w="503"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1.</w:t>
            </w:r>
          </w:p>
        </w:tc>
        <w:tc>
          <w:tcPr>
            <w:tcW w:w="4066" w:type="dxa"/>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jc w:val="both"/>
              <w:rPr>
                <w:rFonts w:ascii="Times New Roman" w:eastAsia="Times New Roman" w:hAnsi="Times New Roman"/>
                <w:sz w:val="22"/>
                <w:szCs w:val="22"/>
              </w:rPr>
            </w:pPr>
            <w:r w:rsidRPr="00E060F8">
              <w:rPr>
                <w:rFonts w:ascii="Times New Roman" w:eastAsia="Times New Roman" w:hAnsi="Times New Roman"/>
                <w:sz w:val="22"/>
                <w:szCs w:val="22"/>
              </w:rPr>
              <w:t xml:space="preserve">Критерий оценки </w:t>
            </w:r>
            <w:r w:rsidRPr="00E060F8">
              <w:rPr>
                <w:rFonts w:ascii="Times New Roman" w:eastAsia="Times New Roman" w:hAnsi="Times New Roman"/>
                <w:b/>
                <w:bCs/>
                <w:sz w:val="22"/>
                <w:szCs w:val="22"/>
              </w:rPr>
              <w:t>«Цена контракта, сумма цен единиц товары, работы, услуги»</w:t>
            </w:r>
          </w:p>
        </w:tc>
        <w:tc>
          <w:tcPr>
            <w:tcW w:w="10937"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Сумма величин значимости критериев оценки составляет 100 процентов.</w:t>
            </w:r>
          </w:p>
        </w:tc>
      </w:tr>
      <w:tr w:rsidR="00F9570F" w:rsidRPr="00E060F8" w:rsidTr="006B56F0">
        <w:tc>
          <w:tcPr>
            <w:tcW w:w="503"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2.</w:t>
            </w:r>
          </w:p>
        </w:tc>
        <w:tc>
          <w:tcPr>
            <w:tcW w:w="4066" w:type="dxa"/>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jc w:val="both"/>
              <w:rPr>
                <w:rFonts w:ascii="Times New Roman" w:eastAsia="Times New Roman" w:hAnsi="Times New Roman"/>
                <w:sz w:val="22"/>
                <w:szCs w:val="22"/>
              </w:rPr>
            </w:pPr>
            <w:r w:rsidRPr="00E060F8">
              <w:rPr>
                <w:rFonts w:ascii="Times New Roman" w:eastAsia="Times New Roman" w:hAnsi="Times New Roman"/>
                <w:sz w:val="22"/>
                <w:szCs w:val="22"/>
              </w:rPr>
              <w:t xml:space="preserve">Критерий оценки </w:t>
            </w:r>
            <w:r w:rsidRPr="00E060F8">
              <w:rPr>
                <w:rFonts w:ascii="Times New Roman" w:eastAsia="Times New Roman" w:hAnsi="Times New Roman"/>
                <w:b/>
                <w:bCs/>
                <w:sz w:val="22"/>
                <w:szCs w:val="22"/>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p>
        </w:tc>
        <w:tc>
          <w:tcPr>
            <w:tcW w:w="10937"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 xml:space="preserve">По критерию оценки </w:t>
            </w:r>
            <w:r w:rsidRPr="00E060F8">
              <w:rPr>
                <w:rFonts w:ascii="Times New Roman" w:eastAsia="Times New Roman" w:hAnsi="Times New Roman"/>
                <w:b/>
                <w:bCs/>
                <w:sz w:val="22"/>
                <w:szCs w:val="22"/>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E060F8">
              <w:rPr>
                <w:rFonts w:ascii="Times New Roman" w:eastAsia="Times New Roman" w:hAnsi="Times New Roman"/>
                <w:sz w:val="22"/>
                <w:szCs w:val="22"/>
              </w:rPr>
              <w:t xml:space="preserve"> применяются показатели оценки. </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rsidR="00F9570F" w:rsidRPr="00E060F8" w:rsidTr="006B56F0">
        <w:tc>
          <w:tcPr>
            <w:tcW w:w="503"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t>2.1</w:t>
            </w:r>
          </w:p>
        </w:tc>
        <w:tc>
          <w:tcPr>
            <w:tcW w:w="4066" w:type="dxa"/>
            <w:tcBorders>
              <w:top w:val="single" w:sz="4" w:space="0" w:color="auto"/>
              <w:left w:val="single" w:sz="4" w:space="0" w:color="auto"/>
              <w:bottom w:val="single" w:sz="4" w:space="0" w:color="auto"/>
              <w:right w:val="single" w:sz="4" w:space="0" w:color="auto"/>
            </w:tcBorders>
          </w:tcPr>
          <w:p w:rsidR="00F9570F" w:rsidRPr="00F9570F" w:rsidRDefault="00F9570F" w:rsidP="006B56F0">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t>Показатель оценки «</w:t>
            </w:r>
            <w:r w:rsidRPr="00F9570F">
              <w:rPr>
                <w:rFonts w:ascii="Times New Roman" w:eastAsia="Times New Roman" w:hAnsi="Times New Roman"/>
                <w:b/>
                <w:bCs/>
                <w:sz w:val="22"/>
                <w:szCs w:val="22"/>
              </w:rPr>
              <w:t>Наличие у участников закупки опыта работы, связанного с предметом контракта</w:t>
            </w:r>
            <w:r w:rsidRPr="00F9570F">
              <w:rPr>
                <w:rFonts w:ascii="Times New Roman" w:eastAsia="Times New Roman" w:hAnsi="Times New Roman"/>
                <w:sz w:val="22"/>
                <w:szCs w:val="22"/>
              </w:rPr>
              <w:t>».</w:t>
            </w:r>
          </w:p>
          <w:p w:rsidR="00F9570F" w:rsidRPr="00E060F8" w:rsidRDefault="00F9570F" w:rsidP="00F9570F">
            <w:pPr>
              <w:tabs>
                <w:tab w:val="left" w:pos="-360"/>
                <w:tab w:val="left" w:pos="360"/>
              </w:tabs>
              <w:jc w:val="both"/>
              <w:rPr>
                <w:rFonts w:ascii="Times New Roman" w:eastAsia="Times New Roman" w:hAnsi="Times New Roman"/>
                <w:sz w:val="22"/>
                <w:szCs w:val="22"/>
              </w:rPr>
            </w:pPr>
            <w:r w:rsidRPr="00F9570F">
              <w:rPr>
                <w:rFonts w:ascii="Times New Roman" w:eastAsia="Times New Roman" w:hAnsi="Times New Roman"/>
                <w:sz w:val="22"/>
                <w:szCs w:val="22"/>
              </w:rPr>
              <w:t>Показатель оценки, детализирующий показатель оценки</w:t>
            </w:r>
            <w:r>
              <w:rPr>
                <w:rFonts w:ascii="Times New Roman" w:eastAsia="Times New Roman" w:hAnsi="Times New Roman"/>
                <w:sz w:val="22"/>
                <w:szCs w:val="22"/>
              </w:rPr>
              <w:t xml:space="preserve"> - </w:t>
            </w:r>
            <w:r w:rsidRPr="00F9570F">
              <w:rPr>
                <w:rFonts w:ascii="Times New Roman" w:hAnsi="Times New Roman"/>
                <w:b/>
              </w:rPr>
              <w:t>«</w:t>
            </w:r>
            <w:r w:rsidRPr="00F9570F">
              <w:rPr>
                <w:rFonts w:ascii="Times New Roman" w:hAnsi="Times New Roman"/>
                <w:b/>
                <w:sz w:val="22"/>
                <w:szCs w:val="22"/>
              </w:rPr>
              <w:t>Наибольшая цена одного из исполненных участником закупки контракта (договора)»</w:t>
            </w:r>
            <w:r w:rsidRPr="00E060F8">
              <w:rPr>
                <w:rFonts w:ascii="Times New Roman" w:eastAsia="Times New Roman" w:hAnsi="Times New Roman"/>
                <w:sz w:val="22"/>
                <w:szCs w:val="22"/>
              </w:rPr>
              <w:t xml:space="preserve"> </w:t>
            </w:r>
          </w:p>
        </w:tc>
        <w:tc>
          <w:tcPr>
            <w:tcW w:w="10937" w:type="dxa"/>
            <w:tcBorders>
              <w:top w:val="single" w:sz="4" w:space="0" w:color="auto"/>
              <w:left w:val="single" w:sz="4" w:space="0" w:color="auto"/>
              <w:bottom w:val="single" w:sz="4" w:space="0" w:color="auto"/>
              <w:right w:val="single" w:sz="4" w:space="0" w:color="auto"/>
            </w:tcBorders>
            <w:hideMark/>
          </w:tcPr>
          <w:p w:rsidR="00F9570F" w:rsidRPr="00F9570F" w:rsidRDefault="00F9570F" w:rsidP="00F9570F">
            <w:pPr>
              <w:adjustRightInd w:val="0"/>
              <w:jc w:val="both"/>
              <w:rPr>
                <w:rFonts w:ascii="Times New Roman" w:hAnsi="Times New Roman"/>
                <w:color w:val="000000"/>
                <w:sz w:val="24"/>
                <w:szCs w:val="24"/>
                <w:lang w:eastAsia="en-US"/>
              </w:rPr>
            </w:pPr>
            <w:bookmarkStart w:id="0" w:name="_GoBack"/>
            <w:r w:rsidRPr="00F9570F">
              <w:rPr>
                <w:rFonts w:ascii="Times New Roman" w:hAnsi="Times New Roman"/>
                <w:color w:val="000000"/>
                <w:sz w:val="24"/>
                <w:szCs w:val="24"/>
                <w:lang w:eastAsia="en-US"/>
              </w:rPr>
              <w:t xml:space="preserve">К оценке принимаются исполненные участником закупки гражданско-правовые договоры, в том числе заключенные и исполненные в соответствии с Законом № 44-ФЗ. </w:t>
            </w:r>
          </w:p>
          <w:p w:rsidR="00F9570F" w:rsidRPr="00F9570F" w:rsidRDefault="00F9570F" w:rsidP="00F9570F">
            <w:pPr>
              <w:adjustRightInd w:val="0"/>
              <w:jc w:val="both"/>
              <w:rPr>
                <w:rFonts w:ascii="Times New Roman" w:hAnsi="Times New Roman"/>
                <w:color w:val="000000"/>
                <w:sz w:val="24"/>
                <w:szCs w:val="24"/>
                <w:lang w:eastAsia="en-US"/>
              </w:rPr>
            </w:pPr>
            <w:r w:rsidRPr="00F9570F">
              <w:rPr>
                <w:rFonts w:ascii="Times New Roman" w:hAnsi="Times New Roman"/>
                <w:color w:val="000000"/>
                <w:sz w:val="24"/>
                <w:szCs w:val="24"/>
                <w:lang w:eastAsia="en-US"/>
              </w:rPr>
              <w:t xml:space="preserve">Предметом договора (договоров), оцениваемого по детализирующему показателю, сопоставимого с предметом договора, заключаемого по результатам определения поставщика (подрядчика, исполнителя) является </w:t>
            </w:r>
            <w:r w:rsidRPr="00F9570F">
              <w:rPr>
                <w:rFonts w:ascii="Times New Roman" w:hAnsi="Times New Roman"/>
                <w:b/>
                <w:bCs/>
                <w:i/>
                <w:iCs/>
                <w:color w:val="000000"/>
                <w:sz w:val="24"/>
                <w:szCs w:val="24"/>
                <w:lang w:eastAsia="en-US"/>
              </w:rPr>
              <w:t>оказание услуг по проведению обязательного ежегодного аудита бухгалтерской (финансовой) отчетности</w:t>
            </w:r>
            <w:r w:rsidRPr="00F9570F">
              <w:rPr>
                <w:rFonts w:ascii="Times New Roman" w:hAnsi="Times New Roman"/>
                <w:color w:val="000000"/>
                <w:sz w:val="24"/>
                <w:szCs w:val="24"/>
                <w:lang w:eastAsia="en-US"/>
              </w:rPr>
              <w:t>.</w:t>
            </w:r>
          </w:p>
          <w:p w:rsidR="00F9570F" w:rsidRPr="00F9570F" w:rsidRDefault="00F9570F" w:rsidP="00F9570F">
            <w:pPr>
              <w:adjustRightInd w:val="0"/>
              <w:jc w:val="both"/>
              <w:rPr>
                <w:rFonts w:ascii="Times New Roman" w:hAnsi="Times New Roman"/>
                <w:color w:val="000000"/>
                <w:sz w:val="24"/>
                <w:szCs w:val="24"/>
                <w:lang w:eastAsia="en-US"/>
              </w:rPr>
            </w:pPr>
            <w:r w:rsidRPr="00F9570F">
              <w:rPr>
                <w:rFonts w:ascii="Times New Roman" w:hAnsi="Times New Roman"/>
                <w:color w:val="000000"/>
                <w:sz w:val="24"/>
                <w:szCs w:val="24"/>
                <w:lang w:eastAsia="en-US"/>
              </w:rPr>
              <w:t>К оценке принимаются исключительно исполненные договоры (контракты), при исполнении которых поставщиком (подрядчиком, исполнителем) исполнены требования об уплате неустоек (штрафов, пеней) (в случае начисления неустоек).</w:t>
            </w:r>
          </w:p>
          <w:p w:rsidR="00F9570F" w:rsidRPr="00F9570F" w:rsidRDefault="00F9570F" w:rsidP="00F9570F">
            <w:pPr>
              <w:adjustRightInd w:val="0"/>
              <w:jc w:val="both"/>
              <w:rPr>
                <w:rFonts w:ascii="Times New Roman" w:hAnsi="Times New Roman"/>
                <w:color w:val="000000"/>
                <w:sz w:val="24"/>
                <w:szCs w:val="24"/>
                <w:lang w:eastAsia="en-US"/>
              </w:rPr>
            </w:pPr>
            <w:r w:rsidRPr="00F9570F">
              <w:rPr>
                <w:rFonts w:ascii="Times New Roman" w:hAnsi="Times New Roman"/>
                <w:color w:val="000000"/>
                <w:sz w:val="24"/>
                <w:szCs w:val="24"/>
                <w:lang w:eastAsia="en-US"/>
              </w:rPr>
              <w:t xml:space="preserve">Перечень документов, подтверждающих наличие у участника закупки опыта оказания услуги, связанного с предметом договора: </w:t>
            </w:r>
          </w:p>
          <w:p w:rsidR="00F9570F" w:rsidRPr="00F9570F" w:rsidRDefault="00F9570F" w:rsidP="00F9570F">
            <w:pPr>
              <w:adjustRightInd w:val="0"/>
              <w:jc w:val="both"/>
              <w:rPr>
                <w:rFonts w:ascii="Times New Roman" w:hAnsi="Times New Roman"/>
                <w:i/>
                <w:iCs/>
                <w:color w:val="000000"/>
                <w:sz w:val="24"/>
                <w:szCs w:val="24"/>
                <w:lang w:eastAsia="en-US"/>
              </w:rPr>
            </w:pPr>
            <w:r w:rsidRPr="00F9570F">
              <w:rPr>
                <w:rFonts w:ascii="Times New Roman" w:hAnsi="Times New Roman"/>
                <w:color w:val="000000"/>
                <w:sz w:val="24"/>
                <w:szCs w:val="24"/>
                <w:lang w:eastAsia="en-US"/>
              </w:rPr>
              <w:lastRenderedPageBreak/>
              <w:t xml:space="preserve">- </w:t>
            </w:r>
            <w:r w:rsidRPr="00F9570F">
              <w:rPr>
                <w:rFonts w:ascii="Times New Roman" w:hAnsi="Times New Roman"/>
                <w:i/>
                <w:iCs/>
                <w:color w:val="000000"/>
                <w:sz w:val="24"/>
                <w:szCs w:val="24"/>
                <w:lang w:eastAsia="en-US"/>
              </w:rPr>
              <w:t xml:space="preserve">исполненный договор (контракт); </w:t>
            </w:r>
          </w:p>
          <w:p w:rsidR="00F9570F" w:rsidRPr="00F9570F" w:rsidRDefault="00F9570F" w:rsidP="00F9570F">
            <w:pPr>
              <w:adjustRightInd w:val="0"/>
              <w:jc w:val="both"/>
              <w:rPr>
                <w:rFonts w:ascii="Times New Roman" w:hAnsi="Times New Roman"/>
                <w:i/>
                <w:iCs/>
                <w:color w:val="000000"/>
                <w:sz w:val="24"/>
                <w:szCs w:val="24"/>
                <w:lang w:eastAsia="en-US"/>
              </w:rPr>
            </w:pPr>
            <w:r w:rsidRPr="00F9570F">
              <w:rPr>
                <w:rFonts w:ascii="Times New Roman" w:hAnsi="Times New Roman"/>
                <w:i/>
                <w:iCs/>
                <w:color w:val="000000"/>
                <w:sz w:val="24"/>
                <w:szCs w:val="24"/>
                <w:lang w:eastAsia="en-US"/>
              </w:rPr>
              <w:t>- акт (акты) приемки оказанных услуг, составленные при исполнении такого договора (контракта).</w:t>
            </w:r>
          </w:p>
          <w:p w:rsidR="00F9570F" w:rsidRPr="00F9570F" w:rsidRDefault="00F9570F" w:rsidP="00F9570F">
            <w:pPr>
              <w:adjustRightInd w:val="0"/>
              <w:jc w:val="both"/>
              <w:rPr>
                <w:rFonts w:ascii="Times New Roman" w:hAnsi="Times New Roman"/>
                <w:color w:val="000000"/>
                <w:sz w:val="24"/>
                <w:szCs w:val="24"/>
                <w:lang w:eastAsia="en-US"/>
              </w:rPr>
            </w:pPr>
            <w:r w:rsidRPr="00F9570F">
              <w:rPr>
                <w:rFonts w:ascii="Times New Roman" w:hAnsi="Times New Roman"/>
                <w:color w:val="000000"/>
                <w:sz w:val="24"/>
                <w:szCs w:val="24"/>
                <w:lang w:eastAsia="en-US"/>
              </w:rPr>
              <w:t xml:space="preserve">Указанные документы должны быть представлены в полном объеме со всеми приложениями, являющимися их неотъемлемой частью (должны быть представлены все страницы договоров (контрактов), а также актов оказанных услуг). При этом представленные документы должны быть в виде неповторяющихся, полно читаемых документов, на которых видны необходимые сведения, подписи и печати. </w:t>
            </w:r>
          </w:p>
          <w:p w:rsidR="00F9570F" w:rsidRPr="00F9570F" w:rsidRDefault="00F9570F" w:rsidP="00F9570F">
            <w:pPr>
              <w:shd w:val="clear" w:color="auto" w:fill="FFFFFF"/>
              <w:jc w:val="both"/>
              <w:rPr>
                <w:rFonts w:ascii="Times New Roman" w:hAnsi="Times New Roman"/>
                <w:sz w:val="24"/>
                <w:szCs w:val="24"/>
              </w:rPr>
            </w:pPr>
            <w:r w:rsidRPr="00F9570F">
              <w:rPr>
                <w:rFonts w:ascii="Times New Roman" w:hAnsi="Times New Roman"/>
                <w:sz w:val="24"/>
                <w:szCs w:val="24"/>
              </w:rPr>
              <w:t>Последний акт, составленный при исполнении договора и предусмотренный </w:t>
            </w:r>
            <w:hyperlink r:id="rId20" w:anchor="/document/403337669/entry/12833" w:history="1">
              <w:r w:rsidRPr="00F9570F">
                <w:rPr>
                  <w:rFonts w:ascii="Times New Roman" w:hAnsi="Times New Roman"/>
                  <w:color w:val="0563C1"/>
                  <w:sz w:val="24"/>
                  <w:szCs w:val="24"/>
                  <w:u w:val="single"/>
                </w:rPr>
                <w:t>абзацем третьим подпункта "в"</w:t>
              </w:r>
            </w:hyperlink>
            <w:r w:rsidRPr="00F9570F">
              <w:rPr>
                <w:rFonts w:ascii="Times New Roman" w:hAnsi="Times New Roman"/>
                <w:sz w:val="24"/>
                <w:szCs w:val="24"/>
              </w:rPr>
              <w:t> настоящего пункта, должен быть подписан не ранее чем за 5 лет до даты окончания срока подачи заявок;</w:t>
            </w:r>
          </w:p>
          <w:p w:rsidR="00F9570F" w:rsidRPr="00F9570F" w:rsidRDefault="00F9570F" w:rsidP="00F9570F">
            <w:pPr>
              <w:shd w:val="clear" w:color="auto" w:fill="FFFFFF"/>
              <w:jc w:val="both"/>
              <w:rPr>
                <w:rFonts w:ascii="Times New Roman" w:hAnsi="Times New Roman"/>
                <w:sz w:val="24"/>
                <w:szCs w:val="24"/>
              </w:rPr>
            </w:pPr>
            <w:r w:rsidRPr="00F9570F">
              <w:rPr>
                <w:rFonts w:ascii="Times New Roman" w:hAnsi="Times New Roman"/>
                <w:sz w:val="24"/>
                <w:szCs w:val="24"/>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w:t>
            </w:r>
            <w:hyperlink r:id="rId21" w:anchor="/document/70353464/entry/0" w:history="1">
              <w:r w:rsidRPr="00F9570F">
                <w:rPr>
                  <w:rFonts w:ascii="Times New Roman" w:hAnsi="Times New Roman"/>
                  <w:color w:val="0563C1"/>
                  <w:sz w:val="24"/>
                  <w:szCs w:val="24"/>
                  <w:u w:val="single"/>
                </w:rPr>
                <w:t>Федеральным законом</w:t>
              </w:r>
            </w:hyperlink>
            <w:r w:rsidRPr="00F9570F">
              <w:rPr>
                <w:rFonts w:ascii="Times New Roman" w:hAnsi="Times New Roman"/>
                <w:sz w:val="24"/>
                <w:szCs w:val="24"/>
              </w:rPr>
              <w:t>;</w:t>
            </w:r>
          </w:p>
          <w:p w:rsidR="00F9570F" w:rsidRPr="00F9570F" w:rsidRDefault="00F9570F" w:rsidP="00F9570F">
            <w:pPr>
              <w:tabs>
                <w:tab w:val="left" w:pos="-360"/>
                <w:tab w:val="left" w:pos="360"/>
              </w:tabs>
              <w:jc w:val="both"/>
              <w:rPr>
                <w:rFonts w:ascii="Times New Roman" w:hAnsi="Times New Roman"/>
                <w:sz w:val="24"/>
                <w:szCs w:val="24"/>
                <w:lang w:eastAsia="en-US"/>
              </w:rPr>
            </w:pPr>
            <w:r w:rsidRPr="00F9570F">
              <w:rPr>
                <w:rFonts w:ascii="Times New Roman" w:hAnsi="Times New Roman"/>
                <w:sz w:val="24"/>
                <w:szCs w:val="24"/>
                <w:lang w:eastAsia="en-US"/>
              </w:rPr>
              <w:t>К оценке принимаются документы, предусмотренные </w:t>
            </w:r>
            <w:hyperlink r:id="rId22" w:anchor="/document/403337669/entry/12833" w:history="1">
              <w:r w:rsidRPr="00F9570F">
                <w:rPr>
                  <w:rFonts w:ascii="Times New Roman" w:hAnsi="Times New Roman"/>
                  <w:color w:val="0563C1"/>
                  <w:sz w:val="24"/>
                  <w:szCs w:val="24"/>
                  <w:u w:val="single"/>
                  <w:lang w:eastAsia="en-US"/>
                </w:rPr>
                <w:t>абзацем третьим подпункта "в"</w:t>
              </w:r>
            </w:hyperlink>
            <w:r w:rsidRPr="00F9570F">
              <w:rPr>
                <w:rFonts w:ascii="Times New Roman" w:hAnsi="Times New Roman"/>
                <w:sz w:val="24"/>
                <w:szCs w:val="24"/>
                <w:lang w:eastAsia="en-US"/>
              </w:rPr>
              <w:t> настоящего пункта, в случае их представления в заявке в полном объеме и со всеми приложениями, за исключением случаев, предусмотренных </w:t>
            </w:r>
            <w:hyperlink r:id="rId23" w:anchor="/document/403337669/entry/10315" w:history="1">
              <w:r w:rsidRPr="00F9570F">
                <w:rPr>
                  <w:rFonts w:ascii="Times New Roman" w:hAnsi="Times New Roman"/>
                  <w:color w:val="0563C1"/>
                  <w:sz w:val="24"/>
                  <w:szCs w:val="24"/>
                  <w:u w:val="single"/>
                  <w:lang w:eastAsia="en-US"/>
                </w:rPr>
                <w:t>подпунктом "д" пункта 31</w:t>
              </w:r>
            </w:hyperlink>
            <w:r w:rsidRPr="00F9570F">
              <w:rPr>
                <w:rFonts w:ascii="Times New Roman" w:hAnsi="Times New Roman"/>
                <w:sz w:val="24"/>
                <w:szCs w:val="24"/>
                <w:lang w:eastAsia="en-US"/>
              </w:rPr>
              <w:t>, </w:t>
            </w:r>
            <w:hyperlink r:id="rId24" w:anchor="/document/403337669/entry/10324" w:history="1">
              <w:r w:rsidRPr="00F9570F">
                <w:rPr>
                  <w:rFonts w:ascii="Times New Roman" w:hAnsi="Times New Roman"/>
                  <w:color w:val="0563C1"/>
                  <w:sz w:val="24"/>
                  <w:szCs w:val="24"/>
                  <w:u w:val="single"/>
                  <w:lang w:eastAsia="en-US"/>
                </w:rPr>
                <w:t>подпунктом "г" пункта 32</w:t>
              </w:r>
            </w:hyperlink>
            <w:r w:rsidRPr="00F9570F">
              <w:rPr>
                <w:rFonts w:ascii="Times New Roman" w:hAnsi="Times New Roman"/>
                <w:sz w:val="24"/>
                <w:szCs w:val="24"/>
                <w:lang w:eastAsia="en-US"/>
              </w:rPr>
              <w:t> и </w:t>
            </w:r>
            <w:hyperlink r:id="rId25" w:anchor="/document/403337669/entry/10334" w:history="1">
              <w:r w:rsidRPr="00F9570F">
                <w:rPr>
                  <w:rFonts w:ascii="Times New Roman" w:hAnsi="Times New Roman"/>
                  <w:color w:val="0563C1"/>
                  <w:sz w:val="24"/>
                  <w:szCs w:val="24"/>
                  <w:u w:val="single"/>
                  <w:lang w:eastAsia="en-US"/>
                </w:rPr>
                <w:t>подпунктом "г" пункта 33</w:t>
              </w:r>
            </w:hyperlink>
            <w:r w:rsidRPr="00F9570F">
              <w:rPr>
                <w:rFonts w:ascii="Times New Roman" w:hAnsi="Times New Roman"/>
                <w:sz w:val="24"/>
                <w:szCs w:val="24"/>
                <w:lang w:eastAsia="en-US"/>
              </w:rPr>
              <w:t xml:space="preserve"> Положения об оценке заявок на участие в закупке товаров, работ, услуг для обеспечения государственных и муниципальных нужд, утв. Постановлением Правительства РФ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w:t>
            </w:r>
          </w:p>
          <w:p w:rsidR="00F9570F" w:rsidRPr="00F9570F" w:rsidRDefault="00F9570F" w:rsidP="00F9570F">
            <w:pPr>
              <w:tabs>
                <w:tab w:val="left" w:pos="-360"/>
                <w:tab w:val="left" w:pos="360"/>
              </w:tabs>
              <w:jc w:val="both"/>
              <w:rPr>
                <w:rFonts w:ascii="Times New Roman" w:hAnsi="Times New Roman"/>
                <w:sz w:val="24"/>
                <w:szCs w:val="24"/>
                <w:lang w:eastAsia="en-US"/>
              </w:rPr>
            </w:pPr>
            <w:r w:rsidRPr="00F9570F">
              <w:rPr>
                <w:rFonts w:ascii="Times New Roman" w:hAnsi="Times New Roman"/>
                <w:sz w:val="24"/>
                <w:szCs w:val="24"/>
                <w:lang w:eastAsia="en-US"/>
              </w:rPr>
              <w:t>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bookmarkEnd w:id="0"/>
          <w:p w:rsidR="00F9570F" w:rsidRPr="002E5AE8" w:rsidRDefault="00F9570F" w:rsidP="00F9570F">
            <w:pPr>
              <w:tabs>
                <w:tab w:val="left" w:pos="-360"/>
                <w:tab w:val="left" w:pos="360"/>
              </w:tabs>
              <w:jc w:val="both"/>
              <w:rPr>
                <w:lang w:eastAsia="en-US"/>
              </w:rPr>
            </w:pPr>
          </w:p>
          <w:p w:rsidR="00F9570F" w:rsidRPr="00E060F8" w:rsidRDefault="00F9570F" w:rsidP="006B56F0">
            <w:pPr>
              <w:tabs>
                <w:tab w:val="left" w:pos="-360"/>
                <w:tab w:val="left" w:pos="360"/>
              </w:tabs>
              <w:rPr>
                <w:rFonts w:ascii="Times New Roman" w:eastAsia="Times New Roman" w:hAnsi="Times New Roman"/>
                <w:sz w:val="22"/>
                <w:szCs w:val="22"/>
              </w:rPr>
            </w:pPr>
          </w:p>
        </w:tc>
      </w:tr>
      <w:tr w:rsidR="00F9570F" w:rsidRPr="00E060F8" w:rsidTr="006B56F0">
        <w:tc>
          <w:tcPr>
            <w:tcW w:w="503"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lastRenderedPageBreak/>
              <w:t>2.2</w:t>
            </w:r>
          </w:p>
        </w:tc>
        <w:tc>
          <w:tcPr>
            <w:tcW w:w="4066"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jc w:val="both"/>
              <w:rPr>
                <w:rFonts w:ascii="Times New Roman" w:eastAsia="Times New Roman" w:hAnsi="Times New Roman"/>
                <w:sz w:val="22"/>
                <w:szCs w:val="22"/>
              </w:rPr>
            </w:pPr>
            <w:r w:rsidRPr="00E060F8">
              <w:rPr>
                <w:rFonts w:ascii="Times New Roman" w:eastAsia="Times New Roman" w:hAnsi="Times New Roman"/>
                <w:sz w:val="22"/>
                <w:szCs w:val="22"/>
              </w:rPr>
              <w:t>Показатель оценки: «</w:t>
            </w:r>
            <w:r w:rsidRPr="00E060F8">
              <w:rPr>
                <w:rFonts w:ascii="Times New Roman" w:eastAsia="Times New Roman" w:hAnsi="Times New Roman"/>
                <w:b/>
                <w:bCs/>
                <w:sz w:val="22"/>
                <w:szCs w:val="22"/>
              </w:rPr>
              <w:t>Наличие у участников закупки специалистов и иных работников определенного уровня квалификации</w:t>
            </w:r>
            <w:r w:rsidRPr="00E060F8">
              <w:rPr>
                <w:rFonts w:ascii="Times New Roman" w:eastAsia="Times New Roman" w:hAnsi="Times New Roman"/>
                <w:sz w:val="22"/>
                <w:szCs w:val="22"/>
              </w:rPr>
              <w:t>».</w:t>
            </w:r>
          </w:p>
          <w:p w:rsidR="00F9570F" w:rsidRPr="00E060F8" w:rsidRDefault="00F9570F" w:rsidP="006B56F0">
            <w:pPr>
              <w:tabs>
                <w:tab w:val="left" w:pos="-360"/>
                <w:tab w:val="left" w:pos="360"/>
              </w:tabs>
              <w:jc w:val="both"/>
              <w:rPr>
                <w:rFonts w:ascii="Times New Roman" w:eastAsia="Times New Roman" w:hAnsi="Times New Roman"/>
                <w:sz w:val="22"/>
                <w:szCs w:val="22"/>
              </w:rPr>
            </w:pPr>
            <w:r w:rsidRPr="00E060F8">
              <w:rPr>
                <w:rFonts w:ascii="Times New Roman" w:eastAsia="Times New Roman" w:hAnsi="Times New Roman"/>
                <w:sz w:val="22"/>
                <w:szCs w:val="22"/>
              </w:rPr>
              <w:lastRenderedPageBreak/>
              <w:t xml:space="preserve">Оценивается количество специалистов, </w:t>
            </w:r>
            <w:r>
              <w:rPr>
                <w:rFonts w:ascii="Times New Roman" w:eastAsia="Times New Roman" w:hAnsi="Times New Roman"/>
                <w:sz w:val="22"/>
                <w:szCs w:val="22"/>
              </w:rPr>
              <w:t xml:space="preserve">являющихся штатными работниками участника закупки, </w:t>
            </w:r>
            <w:r w:rsidRPr="00E060F8">
              <w:rPr>
                <w:rFonts w:ascii="Times New Roman" w:eastAsia="Times New Roman" w:hAnsi="Times New Roman"/>
                <w:sz w:val="22"/>
                <w:szCs w:val="22"/>
              </w:rPr>
              <w:t>обладающих квалификационным аттестатом аудитора, выданным СРО аудиторов в соответствии с Федеральным законом от 30.12.2008 № 307-ФЗ «Об аудиторской деятельности».</w:t>
            </w:r>
          </w:p>
        </w:tc>
        <w:tc>
          <w:tcPr>
            <w:tcW w:w="10937" w:type="dxa"/>
            <w:tcBorders>
              <w:top w:val="single" w:sz="4" w:space="0" w:color="auto"/>
              <w:left w:val="single" w:sz="4" w:space="0" w:color="auto"/>
              <w:bottom w:val="single" w:sz="4" w:space="0" w:color="auto"/>
              <w:right w:val="single" w:sz="4" w:space="0" w:color="auto"/>
            </w:tcBorders>
            <w:hideMark/>
          </w:tcPr>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lastRenderedPageBreak/>
              <w:t xml:space="preserve">Перечень специалистов и иных работников, их квалификация, оцениваемые по показателю и необходимые для оказания услуг, являющихся объектом закупки: </w:t>
            </w:r>
            <w:proofErr w:type="gramStart"/>
            <w:r>
              <w:rPr>
                <w:rFonts w:ascii="Times New Roman" w:eastAsia="Times New Roman" w:hAnsi="Times New Roman"/>
                <w:sz w:val="22"/>
                <w:szCs w:val="22"/>
              </w:rPr>
              <w:t>к оценке</w:t>
            </w:r>
            <w:proofErr w:type="gramEnd"/>
            <w:r w:rsidRPr="00E060F8">
              <w:rPr>
                <w:rFonts w:ascii="Times New Roman" w:eastAsia="Times New Roman" w:hAnsi="Times New Roman"/>
                <w:sz w:val="22"/>
                <w:szCs w:val="22"/>
              </w:rPr>
              <w:t xml:space="preserve"> принимаются </w:t>
            </w:r>
            <w:r>
              <w:rPr>
                <w:rFonts w:ascii="Times New Roman" w:eastAsia="Times New Roman" w:hAnsi="Times New Roman"/>
                <w:sz w:val="22"/>
                <w:szCs w:val="22"/>
              </w:rPr>
              <w:t>штатные работники участника закупки</w:t>
            </w:r>
            <w:r w:rsidRPr="00E060F8">
              <w:rPr>
                <w:rFonts w:ascii="Times New Roman" w:eastAsia="Times New Roman" w:hAnsi="Times New Roman"/>
                <w:sz w:val="22"/>
                <w:szCs w:val="22"/>
              </w:rPr>
              <w:t>, имеющие квалификационный аттестат аудитора, выданный саморегулируемой организацией аудиторов в соответствии с требованиями ст. 11 Федерального закона от 30.12.2008 №307-ФЗ «Об аудиторской деятельности» (</w:t>
            </w:r>
            <w:r w:rsidRPr="00E060F8">
              <w:rPr>
                <w:rFonts w:ascii="Times New Roman" w:eastAsia="Times New Roman" w:hAnsi="Times New Roman"/>
                <w:b/>
                <w:sz w:val="22"/>
                <w:szCs w:val="22"/>
              </w:rPr>
              <w:t>выданный после 01.01.2011г.</w:t>
            </w:r>
            <w:r w:rsidRPr="00E060F8">
              <w:rPr>
                <w:rFonts w:ascii="Times New Roman" w:eastAsia="Times New Roman" w:hAnsi="Times New Roman"/>
                <w:sz w:val="22"/>
                <w:szCs w:val="22"/>
              </w:rPr>
              <w:t xml:space="preserve">). </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lastRenderedPageBreak/>
              <w:t>Перечень документов, подтверждающих наличие специалистов и иных работников, их квалификацию:</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1)</w:t>
            </w:r>
            <w:r w:rsidRPr="00E060F8">
              <w:rPr>
                <w:rFonts w:ascii="Times New Roman" w:eastAsia="Times New Roman" w:hAnsi="Times New Roman"/>
                <w:sz w:val="22"/>
                <w:szCs w:val="22"/>
              </w:rPr>
              <w:tab/>
              <w:t xml:space="preserve"> трудовая книжка (копия) или сведения о трудовой деятельности, предусмотренные статьей 66.1 Трудового кодекса РФ;</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2)</w:t>
            </w:r>
            <w:r w:rsidRPr="00E060F8">
              <w:rPr>
                <w:rFonts w:ascii="Times New Roman" w:eastAsia="Times New Roman" w:hAnsi="Times New Roman"/>
                <w:sz w:val="22"/>
                <w:szCs w:val="22"/>
              </w:rPr>
              <w:tab/>
              <w:t xml:space="preserve"> копии квалификационных аттестатов аудиторов, выданных саморегулируемой организацией аудиторов в соответствии с требованиями ст. 11 Федерального закона от 30.12.2008 №307-ФЗ «Об аудиторской деятельности»;</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3)</w:t>
            </w:r>
            <w:r w:rsidRPr="00E060F8">
              <w:rPr>
                <w:rFonts w:ascii="Times New Roman" w:eastAsia="Times New Roman" w:hAnsi="Times New Roman"/>
                <w:sz w:val="22"/>
                <w:szCs w:val="22"/>
              </w:rPr>
              <w:tab/>
              <w:t xml:space="preserve"> Выписка из реестра аудиторов и аудиторских организаций СРО, подтверждающая членство в саморегулируемой организации аудиторов.</w:t>
            </w:r>
          </w:p>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hAnsi="Times New Roman"/>
                <w:sz w:val="22"/>
                <w:szCs w:val="22"/>
              </w:rPr>
              <w:t>Для оценки необходимо наличие всех перечисленных документов на каждого специалиста.</w:t>
            </w:r>
          </w:p>
        </w:tc>
      </w:tr>
      <w:tr w:rsidR="00F9570F" w:rsidRPr="00E060F8" w:rsidTr="006B56F0">
        <w:tc>
          <w:tcPr>
            <w:tcW w:w="503" w:type="dxa"/>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jc w:val="center"/>
              <w:rPr>
                <w:rFonts w:ascii="Times New Roman" w:eastAsia="Times New Roman" w:hAnsi="Times New Roman"/>
                <w:sz w:val="22"/>
                <w:szCs w:val="22"/>
              </w:rPr>
            </w:pPr>
            <w:r w:rsidRPr="00E060F8">
              <w:rPr>
                <w:rFonts w:ascii="Times New Roman" w:eastAsia="Times New Roman" w:hAnsi="Times New Roman"/>
                <w:sz w:val="22"/>
                <w:szCs w:val="22"/>
              </w:rPr>
              <w:lastRenderedPageBreak/>
              <w:t>3.</w:t>
            </w:r>
          </w:p>
        </w:tc>
        <w:tc>
          <w:tcPr>
            <w:tcW w:w="15003" w:type="dxa"/>
            <w:gridSpan w:val="2"/>
            <w:tcBorders>
              <w:top w:val="single" w:sz="4" w:space="0" w:color="auto"/>
              <w:left w:val="single" w:sz="4" w:space="0" w:color="auto"/>
              <w:bottom w:val="single" w:sz="4" w:space="0" w:color="auto"/>
              <w:right w:val="single" w:sz="4" w:space="0" w:color="auto"/>
            </w:tcBorders>
          </w:tcPr>
          <w:p w:rsidR="00F9570F" w:rsidRPr="00E060F8" w:rsidRDefault="00F9570F" w:rsidP="006B56F0">
            <w:pPr>
              <w:tabs>
                <w:tab w:val="left" w:pos="-360"/>
                <w:tab w:val="left" w:pos="360"/>
              </w:tabs>
              <w:rPr>
                <w:rFonts w:ascii="Times New Roman" w:eastAsia="Times New Roman" w:hAnsi="Times New Roman"/>
                <w:sz w:val="22"/>
                <w:szCs w:val="22"/>
              </w:rPr>
            </w:pPr>
            <w:r w:rsidRPr="00E060F8">
              <w:rPr>
                <w:rFonts w:ascii="Times New Roman" w:eastAsia="Times New Roman" w:hAnsi="Times New Roman"/>
                <w:sz w:val="22"/>
                <w:szCs w:val="22"/>
              </w:rPr>
              <w:t>Для определения порядкового номера заявок в порядке уменьшения степени выгодности содержащихся в таких заявках условий исполнения договора и с учетом положений нормативных правовых актов, принятых в соответствии со статьей 14 Федерального закона № 44-ФЗ рассчитывается сумма баллов по всем критериям с учетом величины их значимости.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bl>
    <w:p w:rsidR="00F9570F" w:rsidRPr="00E060F8" w:rsidRDefault="00F9570F" w:rsidP="00F9570F">
      <w:pPr>
        <w:widowControl w:val="0"/>
        <w:ind w:firstLine="567"/>
        <w:jc w:val="both"/>
        <w:rPr>
          <w:rFonts w:ascii="Times New Roman" w:eastAsia="Times New Roman" w:hAnsi="Times New Roman"/>
          <w:lang w:eastAsia="ru-RU"/>
        </w:rPr>
        <w:sectPr w:rsidR="00F9570F" w:rsidRPr="00E060F8" w:rsidSect="00D71511">
          <w:pgSz w:w="16838" w:h="11906" w:orient="landscape"/>
          <w:pgMar w:top="737" w:right="720" w:bottom="794" w:left="720" w:header="709" w:footer="709" w:gutter="0"/>
          <w:cols w:space="708"/>
          <w:docGrid w:linePitch="360"/>
        </w:sectPr>
      </w:pPr>
    </w:p>
    <w:p w:rsidR="00F9570F" w:rsidRPr="00E060F8" w:rsidRDefault="00F9570F" w:rsidP="00F9570F">
      <w:pPr>
        <w:jc w:val="center"/>
        <w:rPr>
          <w:rFonts w:ascii="Times New Roman" w:hAnsi="Times New Roman"/>
          <w:b/>
          <w:bCs/>
        </w:rPr>
      </w:pPr>
      <w:r w:rsidRPr="00E060F8">
        <w:rPr>
          <w:rFonts w:ascii="Times New Roman" w:hAnsi="Times New Roman"/>
          <w:b/>
          <w:bCs/>
        </w:rPr>
        <w:lastRenderedPageBreak/>
        <w:t>Порядок рассмотрения и оценки вторых частей заявок на участие в конкурсе</w:t>
      </w:r>
    </w:p>
    <w:p w:rsidR="00F9570F" w:rsidRPr="00E060F8" w:rsidRDefault="00F9570F" w:rsidP="00F9570F">
      <w:pPr>
        <w:widowControl w:val="0"/>
        <w:spacing w:after="0" w:line="240" w:lineRule="auto"/>
        <w:jc w:val="both"/>
        <w:rPr>
          <w:rFonts w:ascii="Times New Roman" w:hAnsi="Times New Roman"/>
          <w:bCs/>
        </w:rPr>
      </w:pPr>
      <w:r w:rsidRPr="00E060F8">
        <w:rPr>
          <w:rFonts w:ascii="Times New Roman" w:hAnsi="Times New Roman"/>
          <w:bCs/>
        </w:rPr>
        <w:t>Члены комиссии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Извещением, в порядке и по основаниям, которые предусмотрены статьей 48 Федерального закона № 44-ФЗ.</w:t>
      </w:r>
    </w:p>
    <w:p w:rsidR="00F9570F" w:rsidRPr="00E060F8" w:rsidRDefault="00F9570F" w:rsidP="00F9570F">
      <w:pPr>
        <w:widowControl w:val="0"/>
        <w:spacing w:after="0" w:line="240" w:lineRule="auto"/>
        <w:jc w:val="both"/>
        <w:rPr>
          <w:rFonts w:ascii="Times New Roman" w:hAnsi="Times New Roman"/>
          <w:bCs/>
        </w:rPr>
      </w:pPr>
      <w:r w:rsidRPr="00E060F8">
        <w:rPr>
          <w:rFonts w:ascii="Times New Roman" w:hAnsi="Times New Roman"/>
          <w:bCs/>
        </w:rPr>
        <w:t>Заявка на участие в конкурсе признается не соответствующей требованиям, установленным Извещением, в случаях, предусмотренных частью 12 статьи 48 Федерального закона № 44-ФЗ. В случае установления недостоверности информации, представленной участником конкурса, конкурсная комиссия обязана отстранить такого участника от участия в этом конкурсе на любом этапе его проведения.</w:t>
      </w:r>
    </w:p>
    <w:p w:rsidR="00F9570F" w:rsidRPr="00F353BB" w:rsidRDefault="00F9570F" w:rsidP="00F9570F">
      <w:pPr>
        <w:widowControl w:val="0"/>
        <w:spacing w:after="0" w:line="240" w:lineRule="auto"/>
        <w:jc w:val="both"/>
        <w:rPr>
          <w:rFonts w:ascii="Times New Roman" w:hAnsi="Times New Roman"/>
        </w:rPr>
      </w:pPr>
      <w:r w:rsidRPr="00E060F8">
        <w:rPr>
          <w:rFonts w:ascii="Times New Roman" w:hAnsi="Times New Roman"/>
          <w:bCs/>
        </w:rPr>
        <w:t>Члены комиссии осуществляет оценку вторых частей заявок на участие в конкурсе, в отношении которых принято решение о соответствии требованиям, установленным Извещением, для выявления победителя такого конкурса на основе критериев оценки заявок.</w:t>
      </w:r>
      <w:r>
        <w:rPr>
          <w:rFonts w:ascii="Times New Roman" w:hAnsi="Times New Roman"/>
          <w:bCs/>
        </w:rPr>
        <w:t xml:space="preserve"> </w:t>
      </w:r>
      <w:r w:rsidRPr="00E060F8">
        <w:rPr>
          <w:rFonts w:ascii="Times New Roman" w:hAnsi="Times New Roman"/>
          <w:bCs/>
        </w:rPr>
        <w:t>Если электронный конкурс признан несостоявшимся в случаях, предусмотренных </w:t>
      </w:r>
      <w:hyperlink r:id="rId26" w:anchor="dst2654" w:history="1">
        <w:r w:rsidRPr="00E060F8">
          <w:rPr>
            <w:rFonts w:ascii="Times New Roman" w:hAnsi="Times New Roman"/>
            <w:bCs/>
          </w:rPr>
          <w:t>частью 1 статьи 52</w:t>
        </w:r>
      </w:hyperlink>
      <w:r w:rsidRPr="00E060F8">
        <w:rPr>
          <w:rFonts w:ascii="Times New Roman" w:hAnsi="Times New Roman"/>
          <w:bCs/>
        </w:rPr>
        <w:t>  Федерального закона № 44-ФЗ, такой конкурс проводится с учетом особенностей, установленных </w:t>
      </w:r>
      <w:hyperlink r:id="rId27" w:anchor="dst2661" w:history="1">
        <w:r w:rsidRPr="00E060F8">
          <w:rPr>
            <w:rFonts w:ascii="Times New Roman" w:hAnsi="Times New Roman"/>
            <w:bCs/>
          </w:rPr>
          <w:t>частями 2</w:t>
        </w:r>
      </w:hyperlink>
      <w:r w:rsidRPr="00E060F8">
        <w:rPr>
          <w:rFonts w:ascii="Times New Roman" w:hAnsi="Times New Roman"/>
          <w:bCs/>
        </w:rPr>
        <w:t> - </w:t>
      </w:r>
      <w:hyperlink r:id="rId28" w:anchor="dst2679" w:history="1">
        <w:r w:rsidRPr="00E060F8">
          <w:rPr>
            <w:rFonts w:ascii="Times New Roman" w:hAnsi="Times New Roman"/>
            <w:bCs/>
          </w:rPr>
          <w:t>4</w:t>
        </w:r>
      </w:hyperlink>
      <w:r w:rsidRPr="00E060F8">
        <w:rPr>
          <w:rFonts w:ascii="Times New Roman" w:hAnsi="Times New Roman"/>
          <w:bCs/>
        </w:rPr>
        <w:t> и </w:t>
      </w:r>
      <w:hyperlink r:id="rId29" w:anchor="dst2684" w:history="1">
        <w:r w:rsidRPr="00E060F8">
          <w:rPr>
            <w:rFonts w:ascii="Times New Roman" w:hAnsi="Times New Roman"/>
            <w:bCs/>
          </w:rPr>
          <w:t>7 статьи 52</w:t>
        </w:r>
      </w:hyperlink>
      <w:r w:rsidRPr="00E060F8">
        <w:rPr>
          <w:rFonts w:ascii="Times New Roman" w:hAnsi="Times New Roman"/>
          <w:bCs/>
        </w:rPr>
        <w:t> Федерального закона № 44-ФЗ.</w:t>
      </w:r>
    </w:p>
    <w:p w:rsidR="00F9570F" w:rsidRDefault="00F9570F" w:rsidP="00F9570F"/>
    <w:p w:rsidR="00F45562" w:rsidRDefault="00F9570F"/>
    <w:sectPr w:rsidR="00F45562" w:rsidSect="00C4054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0F"/>
    <w:rsid w:val="00313A1B"/>
    <w:rsid w:val="00E8476C"/>
    <w:rsid w:val="00F9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2C177-CF88-4618-9689-60078628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70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5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94f5bf092e8d98af576ee351987de4f0/" TargetMode="External"/><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hyperlink" Target="http://www.consultant.ru/document/cons_doc_LAW_388926/1fffdc25ba7f354f04feb1f66666e243fa953f47/"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hyperlink" Target="https://internet.garant.ru/" TargetMode="External"/><Relationship Id="rId29" Type="http://schemas.openxmlformats.org/officeDocument/2006/relationships/hyperlink" Target="http://www.consultant.ru/document/cons_doc_LAW_388926/1fffdc25ba7f354f04feb1f66666e243fa953f47/"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internet.garant.ru/" TargetMode="External"/><Relationship Id="rId5" Type="http://schemas.openxmlformats.org/officeDocument/2006/relationships/hyperlink" Target="https://base.garant.ru/403337669/cd50fd6b6cb08da4476e7ba70e369fac/" TargetMode="External"/><Relationship Id="rId15" Type="http://schemas.openxmlformats.org/officeDocument/2006/relationships/image" Target="media/image7.png"/><Relationship Id="rId23" Type="http://schemas.openxmlformats.org/officeDocument/2006/relationships/hyperlink" Target="https://internet.garant.ru/" TargetMode="External"/><Relationship Id="rId28" Type="http://schemas.openxmlformats.org/officeDocument/2006/relationships/hyperlink" Target="http://www.consultant.ru/document/cons_doc_LAW_388926/1fffdc25ba7f354f04feb1f66666e243fa953f47/" TargetMode="External"/><Relationship Id="rId10" Type="http://schemas.openxmlformats.org/officeDocument/2006/relationships/hyperlink" Target="https://base.garant.ru/70353464/94f5bf092e8d98af576ee351987de4f0/" TargetMode="Externa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hyperlink" Target="mailto:torgi.sngs@mail.ru" TargetMode="External"/><Relationship Id="rId9" Type="http://schemas.openxmlformats.org/officeDocument/2006/relationships/image" Target="media/image3.png"/><Relationship Id="rId14" Type="http://schemas.openxmlformats.org/officeDocument/2006/relationships/hyperlink" Target="https://base.garant.ru/70353464/94f5bf092e8d98af576ee351987de4f0/" TargetMode="External"/><Relationship Id="rId22" Type="http://schemas.openxmlformats.org/officeDocument/2006/relationships/hyperlink" Target="https://internet.garant.ru/" TargetMode="External"/><Relationship Id="rId27" Type="http://schemas.openxmlformats.org/officeDocument/2006/relationships/hyperlink" Target="http://www.consultant.ru/document/cons_doc_LAW_388926/1fffdc25ba7f354f04feb1f66666e243fa953f4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2495</Words>
  <Characters>14224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Юлия Сергеевна</dc:creator>
  <cp:keywords/>
  <dc:description/>
  <cp:lastModifiedBy>Тарасова Юлия Сергеевна</cp:lastModifiedBy>
  <cp:revision>1</cp:revision>
  <dcterms:created xsi:type="dcterms:W3CDTF">2026-04-07T06:05:00Z</dcterms:created>
  <dcterms:modified xsi:type="dcterms:W3CDTF">2026-04-07T06:10:00Z</dcterms:modified>
</cp:coreProperties>
</file>